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September 30, 2020</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196"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720" w:type="dxa"/>
        <w:tblCellMar>
          <w:top w:w="0" w:type="dxa"/>
          <w:left w:w="0" w:type="dxa"/>
          <w:bottom w:w="0" w:type="dxa"/>
          <w:right w:w="0" w:type="dxa"/>
        </w:tblCellMar>
      </w:tblPr>
      <w:tr>
        <w:trPr>
          <w:trHeight w:val="230"/>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70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72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7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7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2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October 29, 2020: Common Stock, No Par Value: 17,469,410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820" w:type="dxa"/>
            <w:vAlign w:val="bottom"/>
          </w:tcPr>
          <w:p>
            <w:pPr>
              <w:ind w:left="4320"/>
              <w:spacing w:after="0"/>
              <w:rPr>
                <w:sz w:val="20"/>
                <w:szCs w:val="20"/>
                <w:color w:val="auto"/>
              </w:rPr>
            </w:pPr>
            <w:r>
              <w:rPr>
                <w:rFonts w:ascii="Arial" w:cs="Arial" w:eastAsia="Arial" w:hAnsi="Arial"/>
                <w:sz w:val="18"/>
                <w:szCs w:val="18"/>
                <w:color w:val="auto"/>
              </w:rPr>
              <w:t>INDEX</w:t>
            </w:r>
          </w:p>
        </w:tc>
        <w:tc>
          <w:tcPr>
            <w:tcW w:w="400" w:type="dxa"/>
            <w:vAlign w:val="bottom"/>
          </w:tcPr>
          <w:p>
            <w:pPr>
              <w:spacing w:after="0"/>
              <w:rPr>
                <w:sz w:val="20"/>
                <w:szCs w:val="20"/>
                <w:color w:val="auto"/>
              </w:rPr>
            </w:pPr>
          </w:p>
        </w:tc>
      </w:tr>
      <w:tr>
        <w:trPr>
          <w:trHeight w:val="364"/>
        </w:trPr>
        <w:tc>
          <w:tcPr>
            <w:tcW w:w="10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439"/>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w:t>
            </w:r>
          </w:p>
        </w:tc>
        <w:tc>
          <w:tcPr>
            <w:tcW w:w="9820" w:type="dxa"/>
            <w:vAlign w:val="bottom"/>
          </w:tcPr>
          <w:p>
            <w:pPr>
              <w:ind w:left="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Capital Stock and Long-Term Debt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2"/>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Common Stockholders’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1"/>
        </w:trPr>
        <w:tc>
          <w:tcPr>
            <w:tcW w:w="1020" w:type="dxa"/>
            <w:vAlign w:val="bottom"/>
          </w:tcPr>
          <w:p>
            <w:pPr>
              <w:spacing w:after="0"/>
              <w:rPr>
                <w:sz w:val="24"/>
                <w:szCs w:val="24"/>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of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16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OTHER INFORMATION</w:t>
              </w:r>
            </w:hyperlink>
          </w:p>
        </w:tc>
        <w:tc>
          <w:tcPr>
            <w:tcW w:w="400" w:type="dxa"/>
            <w:vAlign w:val="bottom"/>
          </w:tcPr>
          <w:p>
            <w:pPr>
              <w:spacing w:after="0"/>
              <w:rPr>
                <w:sz w:val="24"/>
                <w:szCs w:val="24"/>
                <w:color w:val="auto"/>
              </w:rPr>
            </w:pP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2.</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3.</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4.</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20" w:type="dxa"/>
            <w:vAlign w:val="bottom"/>
          </w:tcPr>
          <w:p>
            <w:pPr>
              <w:ind w:left="180"/>
              <w:spacing w:after="0"/>
              <w:rPr>
                <w:sz w:val="20"/>
                <w:szCs w:val="20"/>
                <w:color w:val="auto"/>
              </w:rPr>
            </w:pPr>
            <w:r>
              <w:rPr>
                <w:rFonts w:ascii="Arial" w:cs="Arial" w:eastAsia="Arial" w:hAnsi="Arial"/>
                <w:sz w:val="18"/>
                <w:szCs w:val="18"/>
                <w:color w:val="auto"/>
              </w:rPr>
              <w:t>Item 5.</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1020" w:type="dxa"/>
            <w:vAlign w:val="bottom"/>
          </w:tcPr>
          <w:p>
            <w:pPr>
              <w:ind w:left="180"/>
              <w:spacing w:after="0"/>
              <w:rPr>
                <w:sz w:val="20"/>
                <w:szCs w:val="20"/>
                <w:color w:val="auto"/>
              </w:rPr>
            </w:pPr>
            <w:r>
              <w:rPr>
                <w:rFonts w:ascii="Arial" w:cs="Arial" w:eastAsia="Arial" w:hAnsi="Arial"/>
                <w:sz w:val="18"/>
                <w:szCs w:val="18"/>
                <w:color w:val="auto"/>
              </w:rPr>
              <w:t>Item 6.</w:t>
            </w:r>
          </w:p>
        </w:tc>
        <w:tc>
          <w:tcPr>
            <w:tcW w:w="9820" w:type="dxa"/>
            <w:vAlign w:val="bottom"/>
          </w:tcPr>
          <w:p>
            <w:pPr>
              <w:ind w:left="1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10840" w:type="dxa"/>
            <w:vAlign w:val="bottom"/>
            <w:gridSpan w:val="2"/>
          </w:tcPr>
          <w:p>
            <w:pPr>
              <w:ind w:left="18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020" w:type="dxa"/>
            <w:vAlign w:val="bottom"/>
            <w:tcBorders>
              <w:bottom w:val="single" w:sz="8" w:color="EEEEEE"/>
            </w:tcBorders>
          </w:tcPr>
          <w:p>
            <w:pPr>
              <w:spacing w:after="0"/>
              <w:rPr>
                <w:sz w:val="21"/>
                <w:szCs w:val="21"/>
                <w:color w:val="auto"/>
              </w:rPr>
            </w:pPr>
          </w:p>
        </w:tc>
        <w:tc>
          <w:tcPr>
            <w:tcW w:w="9820" w:type="dxa"/>
            <w:vAlign w:val="bottom"/>
            <w:tcBorders>
              <w:bottom w:val="single" w:sz="8" w:color="EEEEEE"/>
            </w:tcBorders>
          </w:tcPr>
          <w:p>
            <w:pPr>
              <w:spacing w:after="0"/>
              <w:rPr>
                <w:sz w:val="21"/>
                <w:szCs w:val="21"/>
                <w:color w:val="auto"/>
              </w:rPr>
            </w:pPr>
          </w:p>
        </w:tc>
        <w:tc>
          <w:tcPr>
            <w:tcW w:w="400" w:type="dxa"/>
            <w:vAlign w:val="bottom"/>
            <w:tcBorders>
              <w:bottom w:val="single" w:sz="8" w:color="EEEEEE"/>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493"/>
        </w:trPr>
        <w:tc>
          <w:tcPr>
            <w:tcW w:w="3860" w:type="dxa"/>
            <w:vAlign w:val="bottom"/>
          </w:tcPr>
          <w:p>
            <w:pPr>
              <w:spacing w:after="0"/>
              <w:rPr>
                <w:sz w:val="24"/>
                <w:szCs w:val="24"/>
                <w:color w:val="auto"/>
              </w:rPr>
            </w:pPr>
          </w:p>
        </w:tc>
        <w:tc>
          <w:tcPr>
            <w:tcW w:w="38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rPr>
              <w:t>MIDDLESEX WATER COMPANY</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40" w:type="dxa"/>
            <w:vAlign w:val="bottom"/>
            <w:gridSpan w:val="6"/>
          </w:tcPr>
          <w:p>
            <w:pPr>
              <w:jc w:val="center"/>
              <w:ind w:left="3011"/>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38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3"/>
        </w:trPr>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4"/>
              </w:rPr>
              <w:t>Three Months Ended September 30,</w:t>
            </w:r>
          </w:p>
        </w:tc>
        <w:tc>
          <w:tcPr>
            <w:tcW w:w="440" w:type="dxa"/>
            <w:vAlign w:val="bottom"/>
          </w:tcPr>
          <w:p>
            <w:pPr>
              <w:spacing w:after="0"/>
              <w:rPr>
                <w:sz w:val="24"/>
                <w:szCs w:val="24"/>
                <w:color w:val="auto"/>
              </w:rPr>
            </w:pPr>
          </w:p>
        </w:tc>
        <w:tc>
          <w:tcPr>
            <w:tcW w:w="3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41"/>
        </w:trPr>
        <w:tc>
          <w:tcPr>
            <w:tcW w:w="3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6"/>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39,920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37,769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106,965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101,859</w:t>
            </w:r>
          </w:p>
        </w:tc>
      </w:tr>
      <w:tr>
        <w:trPr>
          <w:trHeight w:val="209"/>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5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17,949</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17,669</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52,761</w:t>
            </w:r>
          </w:p>
        </w:tc>
        <w:tc>
          <w:tcPr>
            <w:tcW w:w="4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50,569</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4,721</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4,246</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13,798</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12,415</w:t>
            </w:r>
          </w:p>
        </w:tc>
      </w:tr>
      <w:tr>
        <w:trPr>
          <w:trHeight w:val="216"/>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Taxes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4,073</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11,318</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10,913</w:t>
            </w:r>
          </w:p>
        </w:tc>
      </w:tr>
      <w:tr>
        <w:trPr>
          <w:trHeight w:val="209"/>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26,743</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25,786</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77,877</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73,897</w:t>
            </w:r>
          </w:p>
        </w:tc>
      </w:tr>
      <w:tr>
        <w:trPr>
          <w:trHeight w:val="210"/>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13,177</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11,983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29,088</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27,962</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953</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871</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2,871</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2,030</w:t>
            </w:r>
          </w:p>
        </w:tc>
      </w:tr>
      <w:tr>
        <w:trPr>
          <w:trHeight w:val="216"/>
        </w:trPr>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444</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1,164</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1,397</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867</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4,035</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1,888</w:t>
            </w:r>
          </w:p>
        </w:tc>
      </w:tr>
      <w:tr>
        <w:trPr>
          <w:trHeight w:val="210"/>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1,906</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1,996</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5,521</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4,984</w:t>
            </w:r>
          </w:p>
        </w:tc>
      </w:tr>
      <w:tr>
        <w:trPr>
          <w:trHeight w:val="209"/>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12,668</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10,854</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27,602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24,866</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09"/>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12,737</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11,119</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30,118</w:t>
            </w:r>
          </w:p>
        </w:tc>
        <w:tc>
          <w:tcPr>
            <w:tcW w:w="4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25,818</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90</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r>
      <w:tr>
        <w:trPr>
          <w:trHeight w:val="209"/>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12,707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11,089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30,028</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25,716</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0.73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0.72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0.66</w:t>
            </w:r>
          </w:p>
        </w:tc>
        <w:tc>
          <w:tcPr>
            <w:tcW w:w="4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1.71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w:t>
            </w:r>
          </w:p>
        </w:tc>
      </w:tr>
      <w:tr>
        <w:trPr>
          <w:trHeight w:val="216"/>
        </w:trPr>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17,466</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16,610</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17,455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16,520</w:t>
            </w:r>
          </w:p>
        </w:tc>
      </w:tr>
      <w:tr>
        <w:trPr>
          <w:trHeight w:val="234"/>
        </w:trPr>
        <w:tc>
          <w:tcPr>
            <w:tcW w:w="3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17,581</w:t>
            </w:r>
          </w:p>
        </w:tc>
        <w:tc>
          <w:tcPr>
            <w:tcW w:w="4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16,757</w:t>
            </w:r>
          </w:p>
        </w:tc>
        <w:tc>
          <w:tcPr>
            <w:tcW w:w="4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17,570</w:t>
            </w:r>
          </w:p>
        </w:tc>
        <w:tc>
          <w:tcPr>
            <w:tcW w:w="4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16,673</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5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99"/>
        </w:trPr>
        <w:tc>
          <w:tcPr>
            <w:tcW w:w="2820" w:type="dxa"/>
            <w:vAlign w:val="bottom"/>
          </w:tcPr>
          <w:p>
            <w:pPr>
              <w:spacing w:after="0"/>
              <w:rPr>
                <w:sz w:val="24"/>
                <w:szCs w:val="24"/>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rPr>
              <w:t>MIDDLESEX WATER COMPANY</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(Unaudited)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52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3"/>
        </w:trPr>
        <w:tc>
          <w:tcPr>
            <w:tcW w:w="2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165,010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160,870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625,746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556,517</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83,606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83,043</w:t>
            </w:r>
          </w:p>
        </w:tc>
      </w:tr>
      <w:tr>
        <w:trPr>
          <w:trHeight w:val="216"/>
        </w:trPr>
        <w:tc>
          <w:tcPr>
            <w:tcW w:w="2820" w:type="dxa"/>
            <w:vAlign w:val="bottom"/>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73,340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75,520</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947,702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875,950</w:t>
            </w:r>
          </w:p>
        </w:tc>
      </w:tr>
      <w:tr>
        <w:trPr>
          <w:trHeight w:val="216"/>
        </w:trPr>
        <w:tc>
          <w:tcPr>
            <w:tcW w:w="2820" w:type="dxa"/>
            <w:vAlign w:val="bottom"/>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181,661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170,220</w:t>
            </w:r>
          </w:p>
        </w:tc>
      </w:tr>
      <w:tr>
        <w:trPr>
          <w:trHeight w:val="209"/>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766,041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705,730</w:t>
            </w:r>
          </w:p>
        </w:tc>
      </w:tr>
      <w:tr>
        <w:trPr>
          <w:trHeight w:val="223"/>
        </w:trPr>
        <w:tc>
          <w:tcPr>
            <w:tcW w:w="28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2,230</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15,567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11,908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8,823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7,183</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4,762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5,445</w:t>
            </w:r>
          </w:p>
        </w:tc>
      </w:tr>
      <w:tr>
        <w:trPr>
          <w:trHeight w:val="216"/>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3,369</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2,367</w:t>
            </w:r>
          </w:p>
        </w:tc>
      </w:tr>
      <w:tr>
        <w:trPr>
          <w:trHeight w:val="209"/>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37,867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29,133</w:t>
            </w:r>
          </w:p>
        </w:tc>
      </w:tr>
      <w:tr>
        <w:trPr>
          <w:trHeight w:val="223"/>
        </w:trPr>
        <w:tc>
          <w:tcPr>
            <w:tcW w:w="2820" w:type="dxa"/>
            <w:vAlign w:val="bottom"/>
            <w:tcBorders>
              <w:bottom w:val="single" w:sz="8" w:color="auto"/>
            </w:tcBorders>
            <w:shd w:val="clear" w:color="auto" w:fill="CCEEFF"/>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AND OTHER ASSETS:</w:t>
            </w:r>
          </w:p>
        </w:tc>
        <w:tc>
          <w:tcPr>
            <w:tcW w:w="524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5,390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5,944</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2,054</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112,176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110,479</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22,841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44,269</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10,845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10,370</w:t>
            </w:r>
          </w:p>
        </w:tc>
      </w:tr>
      <w:tr>
        <w:trPr>
          <w:trHeight w:val="216"/>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1,367</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1,899</w:t>
            </w:r>
          </w:p>
        </w:tc>
      </w:tr>
      <w:tr>
        <w:trPr>
          <w:trHeight w:val="210"/>
        </w:trPr>
        <w:tc>
          <w:tcPr>
            <w:tcW w:w="2820" w:type="dxa"/>
            <w:vAlign w:val="bottom"/>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DEFERRED CHARGES AND OTHER ASSETS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155,926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175,015</w:t>
            </w: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959,834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r>
        <w:trPr>
          <w:trHeight w:val="210"/>
        </w:trPr>
        <w:tc>
          <w:tcPr>
            <w:tcW w:w="80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8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524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215,125</w:t>
            </w:r>
          </w:p>
        </w:tc>
      </w:tr>
      <w:tr>
        <w:trPr>
          <w:trHeight w:val="223"/>
        </w:trPr>
        <w:tc>
          <w:tcPr>
            <w:tcW w:w="28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125,240</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23"/>
        </w:trPr>
        <w:tc>
          <w:tcPr>
            <w:tcW w:w="2820" w:type="dxa"/>
            <w:vAlign w:val="bottom"/>
          </w:tcPr>
          <w:p>
            <w:pPr>
              <w:spacing w:after="0"/>
              <w:rPr>
                <w:sz w:val="19"/>
                <w:szCs w:val="19"/>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342,106</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r>
      <w:tr>
        <w:trPr>
          <w:trHeight w:val="216"/>
        </w:trPr>
        <w:tc>
          <w:tcPr>
            <w:tcW w:w="2820" w:type="dxa"/>
            <w:vAlign w:val="bottom"/>
          </w:tcPr>
          <w:p>
            <w:pPr>
              <w:spacing w:after="0"/>
              <w:rPr>
                <w:sz w:val="18"/>
                <w:szCs w:val="18"/>
                <w:color w:val="auto"/>
              </w:rPr>
            </w:pP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234,489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230,777</w:t>
            </w:r>
          </w:p>
        </w:tc>
      </w:tr>
      <w:tr>
        <w:trPr>
          <w:trHeight w:val="210"/>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578,679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556,653</w:t>
            </w:r>
          </w:p>
        </w:tc>
      </w:tr>
      <w:tr>
        <w:trPr>
          <w:trHeight w:val="223"/>
        </w:trPr>
        <w:tc>
          <w:tcPr>
            <w:tcW w:w="28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7,239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7,178</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4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36,500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20,000</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24,860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23,306</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10,642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7,635</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1,311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1,211</w:t>
            </w:r>
          </w:p>
        </w:tc>
      </w:tr>
      <w:tr>
        <w:trPr>
          <w:trHeight w:val="216"/>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2,865</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r>
      <w:tr>
        <w:trPr>
          <w:trHeight w:val="210"/>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85,354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64,981</w:t>
            </w:r>
          </w:p>
        </w:tc>
      </w:tr>
      <w:tr>
        <w:trPr>
          <w:trHeight w:val="223"/>
        </w:trPr>
        <w:tc>
          <w:tcPr>
            <w:tcW w:w="8060" w:type="dxa"/>
            <w:vAlign w:val="bottom"/>
            <w:tcBorders>
              <w:bottom w:val="single" w:sz="8" w:color="auto"/>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820" w:type="dxa"/>
            <w:vAlign w:val="bottom"/>
            <w:tcBorders>
              <w:bottom w:val="single" w:sz="8" w:color="auto"/>
            </w:tcBorders>
            <w:shd w:val="clear" w:color="auto" w:fill="CCEEFF"/>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DEFERRED CREDITS</w:t>
            </w:r>
          </w:p>
        </w:tc>
        <w:tc>
          <w:tcPr>
            <w:tcW w:w="524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25,100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23,905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OTHER LIABILITIES:</w:t>
            </w: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5,214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5,732</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58,970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54,408</w:t>
            </w:r>
          </w:p>
        </w:tc>
      </w:tr>
      <w:tr>
        <w:trPr>
          <w:trHeight w:val="216"/>
        </w:trPr>
        <w:tc>
          <w:tcPr>
            <w:tcW w:w="2820" w:type="dxa"/>
            <w:vAlign w:val="bottom"/>
            <w:shd w:val="clear" w:color="auto" w:fill="CCEEFF"/>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33,310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34,671</w:t>
            </w:r>
          </w:p>
        </w:tc>
      </w:tr>
      <w:tr>
        <w:trPr>
          <w:trHeight w:val="216"/>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62,979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69,152</w:t>
            </w:r>
          </w:p>
        </w:tc>
      </w:tr>
      <w:tr>
        <w:trPr>
          <w:trHeight w:val="216"/>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2,432</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2,546</w:t>
            </w:r>
          </w:p>
        </w:tc>
      </w:tr>
      <w:tr>
        <w:trPr>
          <w:trHeight w:val="209"/>
        </w:trPr>
        <w:tc>
          <w:tcPr>
            <w:tcW w:w="28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TOTAL DEFERRED CREDITS AND OTHER LIABILITIES</w:t>
            </w:r>
          </w:p>
        </w:tc>
        <w:tc>
          <w:tcPr>
            <w:tcW w:w="3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188,005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190,414</w:t>
            </w:r>
          </w:p>
        </w:tc>
      </w:tr>
      <w:tr>
        <w:trPr>
          <w:trHeight w:val="223"/>
        </w:trPr>
        <w:tc>
          <w:tcPr>
            <w:tcW w:w="8060" w:type="dxa"/>
            <w:vAlign w:val="bottom"/>
            <w:tcBorders>
              <w:bottom w:val="single" w:sz="8" w:color="auto"/>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16"/>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107,796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97,830</w:t>
            </w:r>
          </w:p>
        </w:tc>
      </w:tr>
      <w:tr>
        <w:trPr>
          <w:trHeight w:val="210"/>
        </w:trPr>
        <w:tc>
          <w:tcPr>
            <w:tcW w:w="28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959,834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909,878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41"/>
        </w:trPr>
        <w:tc>
          <w:tcPr>
            <w:tcW w:w="7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30,118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25,818</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15,595</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12,858</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(10,991)</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(8,379)</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(1,789)</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(1,330)</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(166)</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(187)</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820</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409</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(3,659)</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(1,645)</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(1,640)</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(2,124)</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&amp; Supplies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683</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(1,002)</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(933)</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1,554</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3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3,007</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(2,098)</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(490)</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3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1,234</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(640)</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3,520</w:t>
            </w:r>
          </w:p>
        </w:tc>
        <w:tc>
          <w:tcPr>
            <w:tcW w:w="5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972</w:t>
            </w:r>
          </w:p>
        </w:tc>
      </w:tr>
      <w:tr>
        <w:trPr>
          <w:trHeight w:val="216"/>
        </w:trPr>
        <w:tc>
          <w:tcPr>
            <w:tcW w:w="76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37,290</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23,348</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$1,082 in 2020, $700 in 2019</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(70,785)</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(61,220)</w:t>
            </w:r>
          </w:p>
        </w:tc>
      </w:tr>
      <w:tr>
        <w:trPr>
          <w:trHeight w:val="216"/>
        </w:trPr>
        <w:tc>
          <w:tcPr>
            <w:tcW w:w="76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(70,785)</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(61,220)</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(6,391)</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(6,315)</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10,319</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82,446</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3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16,500</w:t>
            </w:r>
          </w:p>
        </w:tc>
        <w:tc>
          <w:tcPr>
            <w:tcW w:w="5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10,000</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(754)</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921</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12,449</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(13,418)</w:t>
            </w:r>
          </w:p>
        </w:tc>
        <w:tc>
          <w:tcPr>
            <w:tcW w:w="5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(11,893)</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7,420</w:t>
            </w:r>
          </w:p>
        </w:tc>
        <w:tc>
          <w:tcPr>
            <w:tcW w:w="5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3,480</w:t>
            </w:r>
          </w:p>
        </w:tc>
      </w:tr>
      <w:tr>
        <w:trPr>
          <w:trHeight w:val="216"/>
        </w:trPr>
        <w:tc>
          <w:tcPr>
            <w:tcW w:w="76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15,183</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89,289</w:t>
            </w:r>
          </w:p>
        </w:tc>
      </w:tr>
      <w:tr>
        <w:trPr>
          <w:trHeight w:val="210"/>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(18,312)</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(51,417)</w:t>
            </w:r>
          </w:p>
        </w:tc>
      </w:tr>
      <w:tr>
        <w:trPr>
          <w:trHeight w:val="210"/>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46,499</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5,661</w:t>
            </w:r>
          </w:p>
        </w:tc>
      </w:tr>
      <w:tr>
        <w:trPr>
          <w:trHeight w:val="210"/>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28,187</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57,078</w:t>
            </w:r>
          </w:p>
        </w:tc>
      </w:tr>
      <w:tr>
        <w:trPr>
          <w:trHeight w:val="209"/>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3,747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5,375</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Long term Debt Deobligation</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130</w:t>
            </w:r>
          </w:p>
        </w:tc>
      </w:tr>
      <w:tr>
        <w:trPr>
          <w:trHeight w:val="216"/>
        </w:trPr>
        <w:tc>
          <w:tcPr>
            <w:tcW w:w="7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5,834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5,929</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700</w:t>
            </w:r>
          </w:p>
        </w:tc>
      </w:tr>
      <w:tr>
        <w:trPr>
          <w:trHeight w:val="216"/>
        </w:trPr>
        <w:tc>
          <w:tcPr>
            <w:tcW w:w="7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1,783</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6,752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Shares Authorized - 40,000</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- 2020 - 17,469; 2019 - 17,434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215,125</w:t>
            </w:r>
          </w:p>
        </w:tc>
      </w:tr>
      <w:tr>
        <w:trPr>
          <w:trHeight w:val="216"/>
        </w:trPr>
        <w:tc>
          <w:tcPr>
            <w:tcW w:w="6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125,240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108,667</w:t>
            </w:r>
          </w:p>
        </w:tc>
      </w:tr>
      <w:tr>
        <w:trPr>
          <w:trHeight w:val="209"/>
        </w:trPr>
        <w:tc>
          <w:tcPr>
            <w:tcW w:w="6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342,106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323,792</w:t>
            </w:r>
          </w:p>
        </w:tc>
      </w:tr>
      <w:tr>
        <w:trPr>
          <w:trHeight w:val="210"/>
        </w:trPr>
        <w:tc>
          <w:tcPr>
            <w:tcW w:w="6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Shares Outstanding - 2020 - 20: 2019 - 20</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18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Debt:</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8.05%, Amortizing Secured Note, due December 20,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6.25%, Amortizing Secured Note, due May 19, 2028</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3,220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3,535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6.44%, Amortizing Secured Note, due August 25, 2030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2,987</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6.46%, Amortizing Secured Note, due September 19, 2031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3,057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3,267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4.22%, State Revolving Trust Note, due December 31, 2022</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3.60%, State Revolving Trust Note, due May 1, 2025</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1,288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1,405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State Revolving Trust Note, due March 1, 2026</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3.49%, State Revolving Trust Note, due January 25, 2027</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307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4.03%, State Revolving Trust Note, due December 1, 2026</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4.00% to 5.00%, State Revolving Trust Bond, due August 1, 2021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 State Revolving Fund Bond, due August 1, 2021</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3.64%, State Revolving Trust Note, due July 1, 2028</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214</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3.64%, State Revolving Trust Note, due January 1, 2028</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3.45%, State Revolving Trust Note, due August 1, 2031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793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851</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6.59%, Amortizing Secured Note, due April 20, 2029</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7.05%, Amortizing Secured Note, due January 20, 2030</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2,333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2,521</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5.69%, Amortizing Secured Note, due January 20, 2030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4,786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4.45%, Amortizing Secured Note, due April 20, 2040</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8,617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8,946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4.47%, Amortizing Secured Note, due April 20, 2040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3.75%, State Revolving Trust Note, due July 1, 2031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1,765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1,829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 State Revolving Trust Note, due February 1, 2036</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2.00%, State Revolving Trust Note, due November 1, 2038</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1,579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1,309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 State Revolving Trust Note, due November 30, 2030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0.00% Construction Loans</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50,536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40,467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BB, due August 1, 2021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241</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CC, due August 1, 2021</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EE, due August 1, 2023</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1,036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1,456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5.50%, Series FF, due August 1, 2024</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GG, due August 1, 2026</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542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632</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to 5.00%, Series HH, due August 1, 2026</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II, due August 1, 2024</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338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429</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3.40% to 5.00%, Series JJ, due August 1, 2027</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KK, due August 1, 2028</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719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807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to 5.50%, Series LL, due August 1, 2028</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MM, due August 1, 2030</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937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 to 4.375%, Series NN, due August 1, 2030</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0.00%, Series OO, due August 1, 2031</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1,655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1,806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 to 5.00%, Series PP, due August 1, 2031</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5.00%, Series QQ, due October 1, 2023</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9,915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9,915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3.80%, Series RR, due October 1, 2038</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22,500</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4.25%, Series SS, due October 1, 2047</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23,000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23,000</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TT, due August 1, 2032</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1,957</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3.25%, Series UU, due August 1, 2032</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705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VV, due August 1, 2033</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2,004</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5.00%, Series WW, due August 1, 2033</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715</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XX, due August 1, 2047</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10,627</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3.00% to 5.00%, Series YY, due August 1, 2047</w:t>
            </w:r>
          </w:p>
        </w:tc>
        <w:tc>
          <w:tcPr>
            <w:tcW w:w="18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3,710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3,785</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 Series 2018A, due August 1, 2047</w:t>
            </w: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6,247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6,678</w:t>
            </w:r>
          </w:p>
        </w:tc>
      </w:tr>
    </w:tbl>
    <w:p>
      <w:pPr>
        <w:sectPr>
          <w:pgSz w:w="11900" w:h="16838"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3.00% to 5.00%, Series 2018B, due August 1, 2047</w:t>
            </w:r>
          </w:p>
        </w:tc>
        <w:tc>
          <w:tcPr>
            <w:tcW w:w="22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2,210</w:t>
            </w:r>
          </w:p>
        </w:tc>
        <w:tc>
          <w:tcPr>
            <w:tcW w:w="2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2,320</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4.00%, Series 2019A, due August 1, 2059</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32,500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32,500</w:t>
            </w:r>
          </w:p>
        </w:tc>
      </w:tr>
      <w:tr>
        <w:trPr>
          <w:trHeight w:val="216"/>
        </w:trPr>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5.00%, Series 2019B, due August 1, 2059</w:t>
            </w:r>
          </w:p>
        </w:tc>
        <w:tc>
          <w:tcPr>
            <w:tcW w:w="2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21,200</w:t>
            </w:r>
          </w:p>
        </w:tc>
      </w:tr>
      <w:tr>
        <w:trPr>
          <w:trHeight w:val="209"/>
        </w:trPr>
        <w:tc>
          <w:tcPr>
            <w:tcW w:w="6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238,326</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234,397</w:t>
            </w: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2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7,766</w:t>
            </w:r>
          </w:p>
        </w:tc>
        <w:tc>
          <w:tcPr>
            <w:tcW w:w="2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8,064</w:t>
            </w: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(4,506)</w:t>
            </w:r>
          </w:p>
        </w:tc>
      </w:tr>
      <w:tr>
        <w:trPr>
          <w:trHeight w:val="216"/>
        </w:trPr>
        <w:tc>
          <w:tcPr>
            <w:tcW w:w="62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(7,239)</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(7,178)</w:t>
            </w:r>
          </w:p>
        </w:tc>
      </w:tr>
      <w:tr>
        <w:trPr>
          <w:trHeight w:val="209"/>
        </w:trPr>
        <w:tc>
          <w:tcPr>
            <w:tcW w:w="6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234,489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230,777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6"/>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2019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July 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16,554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165,138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98,146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263,284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5,368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Shares Forefeited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$8.00 Convertible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($0.2400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16,670</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170,562</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105,233</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275,795</w:t>
            </w:r>
          </w:p>
        </w:tc>
      </w:tr>
      <w:tr>
        <w:trPr>
          <w:trHeight w:val="210"/>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2019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16,403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157,354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91,433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248,787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25,818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12,449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Forefeited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Conversion of $8.00 Convertible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($0.7200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16,670</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170,562</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105,233</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275,795</w:t>
            </w:r>
          </w:p>
        </w:tc>
      </w:tr>
      <w:tr>
        <w:trPr>
          <w:trHeight w:val="210"/>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2020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2020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216,365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333,373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12,737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17,469</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125,240</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342,106</w:t>
            </w:r>
          </w:p>
        </w:tc>
      </w:tr>
      <w:tr>
        <w:trPr>
          <w:trHeight w:val="210"/>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2020</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17,434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108,667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30,118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($0.7688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17,469</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125,240</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342,106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2019 Annual Report on Form 10-K (the 2019 Form 10-K) are applicable to these financial statements and, in the opinion of the Company, the accompanying unaudited condensed consolidated financial statements contain all adjustments necessary (including normal recurring accruals) to present fairly the financial position as of September 30, 2020, the results of operations for the three month and nine month periods ended September 30, 2020 and 2019 and cash flows for the nine month periods ended September 30, 2020 and 2019. Information included in the Condensed Consolidated Balance Sheet as of December 31, 2019, has been derived from the Company’s audited financial statements for the year ended December 31, 2019 included in the 2019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Novel Coronavirus (COVID-19) </w:t>
      </w:r>
      <w:r>
        <w:rPr>
          <w:rFonts w:ascii="Arial" w:cs="Arial" w:eastAsia="Arial" w:hAnsi="Arial"/>
          <w:sz w:val="18"/>
          <w:szCs w:val="18"/>
          <w:color w:val="auto"/>
        </w:rPr>
        <w:t>- On March 13, 2020, the United States declared the COVID-19 pandemic a national emergency. The impact on</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economic conditions due to COVID-19 is uncertain and could affect the Company’s results of operations, financial condition and liquidity in the future. While the Company’s operations and capital construction program have not been significantly disrupted to date from COVID-19, we are unable to assess with certainty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Jersey Board of Public Utilities (NJBPU) and the Delaware Public Service Commission (DEPSC) have allowed for potential future recovery of COVID-19 related incremental costs through customer rates by the regulated utilities under their respective jurisdictions. Neither jurisdiction has yet to establish a timetable or definitive method for formally providing for cost recovery. We will continue to monitor the COVID-19 situation and evaluate its impact on the Company’s business, results of operations, financial condition and liquidity.</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Contract Operations – </w:t>
      </w:r>
      <w:r>
        <w:rPr>
          <w:rFonts w:ascii="Arial" w:cs="Arial" w:eastAsia="Arial" w:hAnsi="Arial"/>
          <w:sz w:val="18"/>
          <w:szCs w:val="18"/>
          <w:color w:val="auto"/>
        </w:rPr>
        <w:t>In May 2020, USA, through a competitive bidding process, was awarded a ten-year, $8.3 million contract to operate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Borough of Highland Park, New Jersey’s water and wastewater systems. The contract commenced July 1,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Credit Losses on Financial Instruments - </w:t>
      </w:r>
      <w:r>
        <w:rPr>
          <w:rFonts w:ascii="Arial" w:cs="Arial" w:eastAsia="Arial" w:hAnsi="Arial"/>
          <w:sz w:val="18"/>
          <w:szCs w:val="18"/>
          <w:color w:val="auto"/>
        </w:rPr>
        <w:t>The Financial Accounting Standards Board issued guidance on the measurement of credit losses on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including trade receivables, which requires expected credit losses to be measured based on historical experience, current conditions and reasonable and supportable forecasts that affect the collectability of the reported amount of financial assets. The new guidance became effective January 1, 2020. For the Company, this applies primarily to accounts receivable and unbilled revenue balances. The adoption of this guidance did not have a material impact on the Company’s consolidated financial statements.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Expected credit losses on accounts receivable and unbilled revenues are based on historical write-offs combined with an evaluation of current conditions and reasonable and supportable forecasts. Customer accounts are written off when collection efforts have been exhausted.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March 2020, the NJBPU approved Middlesex’s petition to reset its Purchased Water Adjustment Clause (PWAC) tariff rate to recover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costs of $0.6 million for the purchase of treated water from a non-affiliated water utility regulated by the NJBPU. The new PWAC rate became effective on April 4, 2020. A PWAC is a rate mechanism that allows for recovery of increased purchased water costs between base rate case filings. It is reset to zero once those increased costs are included in base rates.</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July 1, 2020, Tidewater increased its DEPSC-approved Distribution System Improvement Charge (DSIC) rate, which is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revenue of approximately $0.5 million annually. A DSIC is a rate-mechanism that allows water utilities to recover investments in, and generate a return on, qualifying capital improvements made between base rate proceedings.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Twin Lakes - </w:t>
      </w:r>
      <w:r>
        <w:rPr>
          <w:rFonts w:ascii="Arial" w:cs="Arial" w:eastAsia="Arial" w:hAnsi="Arial"/>
          <w:sz w:val="16"/>
          <w:szCs w:val="16"/>
          <w:color w:val="auto"/>
        </w:rPr>
        <w:t>In March 2020, the Pennsylvania Public Utilities Commission (PAPUC) approved a $0.1 million increase in annualized base rates for Twin</w:t>
      </w:r>
      <w:r>
        <w:rPr>
          <w:rFonts w:ascii="Arial" w:cs="Arial" w:eastAsia="Arial" w:hAnsi="Arial"/>
          <w:sz w:val="16"/>
          <w:szCs w:val="16"/>
          <w:b w:val="1"/>
          <w:bCs w:val="1"/>
          <w:color w:val="auto"/>
        </w:rPr>
        <w:t xml:space="preserve"> </w:t>
      </w:r>
      <w:r>
        <w:rPr>
          <w:rFonts w:ascii="Arial" w:cs="Arial" w:eastAsia="Arial" w:hAnsi="Arial"/>
          <w:sz w:val="16"/>
          <w:szCs w:val="16"/>
          <w:color w:val="auto"/>
        </w:rPr>
        <w:t>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COVID-19 - </w:t>
      </w:r>
      <w:r>
        <w:rPr>
          <w:rFonts w:ascii="Arial" w:cs="Arial" w:eastAsia="Arial" w:hAnsi="Arial"/>
          <w:sz w:val="17"/>
          <w:szCs w:val="17"/>
          <w:color w:val="auto"/>
        </w:rPr>
        <w:t>The NJBPU and the DEPSC have allowed for potential future recovery in customer rates of additional costs related to COVID-19 (for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discussion of the impact of COVID-19 on the Company, see </w:t>
      </w:r>
      <w:r>
        <w:rPr>
          <w:rFonts w:ascii="Arial" w:cs="Arial" w:eastAsia="Arial" w:hAnsi="Arial"/>
          <w:sz w:val="17"/>
          <w:szCs w:val="17"/>
          <w:i w:val="1"/>
          <w:iCs w:val="1"/>
          <w:color w:val="auto"/>
        </w:rPr>
        <w:t>Note 1- Basis of Presentation and Recent Developments, Recent Developments</w:t>
      </w:r>
      <w:r>
        <w:rPr>
          <w:rFonts w:ascii="Arial" w:cs="Arial" w:eastAsia="Arial" w:hAnsi="Arial"/>
          <w:sz w:val="17"/>
          <w:szCs w:val="17"/>
          <w:color w:val="auto"/>
        </w:rPr>
        <w:t>).</w:t>
      </w:r>
    </w:p>
    <w:p>
      <w:pPr>
        <w:sectPr>
          <w:pgSz w:w="11900" w:h="16838" w:orient="portrait"/>
          <w:cols w:equalWidth="0" w:num="1">
            <w:col w:w="11240"/>
          </w:cols>
          <w:pgMar w:left="320" w:top="121" w:right="339" w:bottom="28"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28"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During the nine months ended September 30, 2020 and 2019, there were 14,223 common shares (approximately $0.9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221,558 common shares ($12.4 million), respectively, issued under the Middlesex Water Company Investment Plan (the Investment Plan). In January 2019, the Company had activated a limited share purchase discount feature of the Investment Plan. A 5% discount was available until August 2019, when the 0.2 million share purchase limit was reached and the discount feature terminated.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the New Jersey SRF program as follows:</w:t>
      </w:r>
    </w:p>
    <w:p>
      <w:pPr>
        <w:spacing w:after="0" w:line="116" w:lineRule="exact"/>
        <w:rPr>
          <w:sz w:val="20"/>
          <w:szCs w:val="20"/>
          <w:color w:val="auto"/>
        </w:rPr>
      </w:pPr>
    </w:p>
    <w:p>
      <w:pPr>
        <w:jc w:val="both"/>
        <w:ind w:left="700" w:hanging="368"/>
        <w:spacing w:after="0" w:line="27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April 2018, the NJBPU approved Middlesex’s request to participate in the NJIB loan program to fund the construction of a large-diameter transmission pipeline from the Carl J. Olsen water treatment plant in Edison, New Jersey and interconnect with our distribution system. Middlesex closed on a $43.5 million NJIB interest-free construction loan in August 2018. Through September 30, 2020, Middlesex has drawn a total of $41.9 million and expects to continue to draw down on this construction loan through the fourth quarter of 2020.</w:t>
      </w:r>
    </w:p>
    <w:p>
      <w:pPr>
        <w:spacing w:after="0" w:line="117"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May 2021 long-term debt financing program.</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amended regulations, the principal balance having a stated interest rate of zero percent (0%) is 25% of the loan balance with the remaining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does not include participating in the NJIB SRF program unless the terms are further amended to become more favorable to the Company.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2019, Middlesex priced and closed on a New Jersey Economic Development Authority (NJEDA) debt financing transaction of $53.7 million by issuing First Mortgage Bonds (FMB)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are held in escrow by a bond trustee and are drawn down by requisition for the qualifying projects. Through September 30, 2020, Middlesex has drawn a total of $38.1 million and currently expects to draw the remaining $22.7 million of proceeds, currently included in Restricted Cash, through the second quarter of 2021.</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Middlesex received approval from the NJBPU to borrow up to $100 million, in one or more private placement transactions to help fund Middlesex’s multi-year capital construction program. Middlesex expects to close on a $40.0 million loan on or about November 18, 2020. Middlesex will issue a FMB with a payment maturity date of November 2050 at an interest rate of 2.90%.</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following methods and assumptions were used by the Company in estimating its fair value disclosure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80" w:type="dxa"/>
            <w:vAlign w:val="bottom"/>
            <w:gridSpan w:val="2"/>
          </w:tcPr>
          <w:p>
            <w:pPr>
              <w:ind w:left="800"/>
              <w:spacing w:after="0"/>
              <w:rPr>
                <w:sz w:val="20"/>
                <w:szCs w:val="20"/>
                <w:color w:val="auto"/>
              </w:rPr>
            </w:pPr>
            <w:r>
              <w:rPr>
                <w:rFonts w:ascii="Arial" w:cs="Arial" w:eastAsia="Arial" w:hAnsi="Arial"/>
                <w:sz w:val="18"/>
                <w:szCs w:val="18"/>
                <w:color w:val="auto"/>
              </w:rPr>
              <w:t>(In Thousands)</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020"/>
              <w:spacing w:after="0"/>
              <w:rPr>
                <w:sz w:val="20"/>
                <w:szCs w:val="20"/>
                <w:color w:val="auto"/>
              </w:rPr>
            </w:pPr>
            <w:r>
              <w:rPr>
                <w:rFonts w:ascii="Arial" w:cs="Arial" w:eastAsia="Arial" w:hAnsi="Arial"/>
                <w:sz w:val="18"/>
                <w:szCs w:val="18"/>
                <w:color w:val="auto"/>
              </w:rPr>
              <w:t>September 30, 2020</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c>
          <w:tcPr>
            <w:tcW w:w="11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c>
          <w:tcPr>
            <w:tcW w:w="112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$147,681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$158,579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$151,361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$160,772</w:t>
            </w:r>
          </w:p>
        </w:tc>
        <w:tc>
          <w:tcPr>
            <w:tcW w:w="112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Borders>
              <w:bottom w:val="single" w:sz="8" w:color="EEEEEE"/>
            </w:tcBorders>
          </w:tcPr>
          <w:p>
            <w:pPr>
              <w:spacing w:after="0"/>
              <w:rPr>
                <w:sz w:val="18"/>
                <w:szCs w:val="18"/>
                <w:color w:val="auto"/>
              </w:rPr>
            </w:pPr>
          </w:p>
        </w:tc>
        <w:tc>
          <w:tcPr>
            <w:tcW w:w="2180" w:type="dxa"/>
            <w:vAlign w:val="bottom"/>
            <w:tcBorders>
              <w:bottom w:val="single" w:sz="8" w:color="EEEEEE"/>
            </w:tcBorders>
          </w:tcPr>
          <w:p>
            <w:pPr>
              <w:spacing w:after="0"/>
              <w:rPr>
                <w:sz w:val="18"/>
                <w:szCs w:val="18"/>
                <w:color w:val="auto"/>
              </w:rPr>
            </w:pPr>
          </w:p>
        </w:tc>
        <w:tc>
          <w:tcPr>
            <w:tcW w:w="27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$90.9 million and $83.0 million at September 30, 2020 and December 31, 2019, respectively. Customer advances for construction have carrying amounts of $25.1 million and $23.9 million as of September 30, 2020 and December 31, 2019, respectively. Their relative fair values cannot be accurately estimated since future refund payments depend on several variables, including new customer connections, customer consumption levels and future rate increases.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 in 2020 and the Convertible Preferred Stock $7.00 Series and the Convertible Preferred Stock $8.00 Series in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gridSpan w:val="4"/>
          </w:tcPr>
          <w:p>
            <w:pPr>
              <w:jc w:val="right"/>
              <w:ind w:right="410"/>
              <w:spacing w:after="0"/>
              <w:rPr>
                <w:sz w:val="20"/>
                <w:szCs w:val="20"/>
                <w:color w:val="auto"/>
              </w:rPr>
            </w:pPr>
            <w:r>
              <w:rPr>
                <w:rFonts w:ascii="Arial" w:cs="Arial" w:eastAsia="Arial" w:hAnsi="Arial"/>
                <w:sz w:val="18"/>
                <w:szCs w:val="18"/>
                <w:color w:val="auto"/>
              </w:rPr>
              <w:t>Three Months Ended September 30,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4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12,737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11,119</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12,707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11,089</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0.73</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0.67</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12,707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17,466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11,089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$8.00 Series Preferred Dividend</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12,724</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17,581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11,106</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0.72</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0.66</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5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right"/>
              <w:ind w:right="170"/>
              <w:spacing w:after="0"/>
              <w:rPr>
                <w:sz w:val="20"/>
                <w:szCs w:val="20"/>
                <w:color w:val="auto"/>
              </w:rPr>
            </w:pPr>
            <w:r>
              <w:rPr>
                <w:rFonts w:ascii="Arial" w:cs="Arial" w:eastAsia="Arial" w:hAnsi="Arial"/>
                <w:sz w:val="18"/>
                <w:szCs w:val="18"/>
                <w:color w:val="auto"/>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60" w:type="dxa"/>
            <w:vAlign w:val="bottom"/>
            <w:gridSpan w:val="3"/>
          </w:tcPr>
          <w:p>
            <w:pPr>
              <w:jc w:val="right"/>
              <w:ind w:right="430"/>
              <w:spacing w:after="0"/>
              <w:rPr>
                <w:sz w:val="20"/>
                <w:szCs w:val="20"/>
                <w:color w:val="auto"/>
              </w:rPr>
            </w:pPr>
            <w:r>
              <w:rPr>
                <w:rFonts w:ascii="Arial" w:cs="Arial" w:eastAsia="Arial" w:hAnsi="Arial"/>
                <w:sz w:val="18"/>
                <w:szCs w:val="18"/>
                <w:color w:val="auto"/>
                <w:w w:val="89"/>
              </w:rPr>
              <w:t>Nine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2020</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Income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30,118</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25,818</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w:t>
            </w: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(102)</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30,028</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25,716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1.72</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1.56</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30,028</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17,455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25,716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$8.00 Series Preferred Dividend</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30,078</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25,778</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16,673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1.71</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1.55</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2"/>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gridSpan w:val="4"/>
          </w:tcPr>
          <w:p>
            <w:pPr>
              <w:jc w:val="right"/>
              <w:ind w:right="73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270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8"/>
              </w:rPr>
              <w:t>September 30,</w:t>
            </w:r>
          </w:p>
        </w:tc>
      </w:tr>
      <w:tr>
        <w:trPr>
          <w:trHeight w:val="20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2019</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37,040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93,342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3,204</w:t>
            </w:r>
          </w:p>
        </w:tc>
        <w:tc>
          <w:tcPr>
            <w:tcW w:w="56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9,345</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9,032</w:t>
            </w: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Consolidated Revenues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39,920</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37,769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101,859</w:t>
            </w:r>
          </w:p>
        </w:tc>
      </w:tr>
      <w:tr>
        <w:trPr>
          <w:trHeight w:val="210"/>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12,119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24,937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1,058</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982</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3,025</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13,177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27,962</w:t>
            </w:r>
          </w:p>
        </w:tc>
      </w:tr>
      <w:tr>
        <w:trPr>
          <w:trHeight w:val="209"/>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11,993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10,409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23,700</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710</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2,118</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12,737</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11,119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25,818</w:t>
            </w:r>
          </w:p>
        </w:tc>
      </w:tr>
      <w:tr>
        <w:trPr>
          <w:trHeight w:val="209"/>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25,266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60,998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25,367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25,522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61,220</w:t>
            </w:r>
          </w:p>
        </w:tc>
      </w:tr>
      <w:tr>
        <w:trPr>
          <w:trHeight w:val="384"/>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2"/>
          </w:tcPr>
          <w:p>
            <w:pPr>
              <w:jc w:val="center"/>
              <w:ind w:right="570"/>
              <w:spacing w:after="0"/>
              <w:rPr>
                <w:sz w:val="20"/>
                <w:szCs w:val="20"/>
                <w:color w:val="auto"/>
              </w:rPr>
            </w:pPr>
            <w:r>
              <w:rPr>
                <w:rFonts w:ascii="Arial" w:cs="Arial" w:eastAsia="Arial" w:hAnsi="Arial"/>
                <w:sz w:val="18"/>
                <w:szCs w:val="18"/>
                <w:color w:val="auto"/>
                <w:w w:val="92"/>
              </w:rPr>
              <w:t>As of</w:t>
            </w:r>
          </w:p>
        </w:tc>
        <w:tc>
          <w:tcPr>
            <w:tcW w:w="24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r>
      <w:tr>
        <w:trPr>
          <w:trHeight w:val="230"/>
        </w:trPr>
        <w:tc>
          <w:tcPr>
            <w:tcW w:w="5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color w:val="auto"/>
                <w:w w:val="89"/>
              </w:rPr>
              <w:t>2020</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959,494</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910,081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10,104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(9,764)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959,834</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909,878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85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270"/>
              <w:spacing w:after="0"/>
              <w:rPr>
                <w:sz w:val="20"/>
                <w:szCs w:val="20"/>
                <w:color w:val="auto"/>
              </w:rPr>
            </w:pPr>
            <w:r>
              <w:rPr>
                <w:rFonts w:ascii="Arial" w:cs="Arial" w:eastAsia="Arial" w:hAnsi="Arial"/>
                <w:sz w:val="18"/>
                <w:szCs w:val="18"/>
                <w:color w:val="auto"/>
                <w:w w:val="99"/>
              </w:rPr>
              <w:t>As of September 30, 2020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80" w:type="dxa"/>
            <w:vAlign w:val="bottom"/>
          </w:tcPr>
          <w:p>
            <w:pPr>
              <w:ind w:left="500"/>
              <w:spacing w:after="0"/>
              <w:rPr>
                <w:sz w:val="20"/>
                <w:szCs w:val="20"/>
                <w:color w:val="auto"/>
              </w:rPr>
            </w:pPr>
            <w:r>
              <w:rPr>
                <w:rFonts w:ascii="Arial" w:cs="Arial" w:eastAsia="Arial" w:hAnsi="Arial"/>
                <w:sz w:val="18"/>
                <w:szCs w:val="18"/>
                <w:color w:val="auto"/>
              </w:rPr>
              <w:t>Line of Credit</w:t>
            </w:r>
          </w:p>
        </w:tc>
      </w:tr>
      <w:tr>
        <w:trPr>
          <w:trHeight w:val="230"/>
        </w:trPr>
        <w:tc>
          <w:tcPr>
            <w:tcW w:w="3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Outstanding</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Maximum</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Credit Type</w:t>
            </w:r>
          </w:p>
        </w:tc>
        <w:tc>
          <w:tcPr>
            <w:tcW w:w="2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Renewal Date</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Uncommitted</w:t>
            </w:r>
          </w:p>
        </w:tc>
        <w:tc>
          <w:tcPr>
            <w:tcW w:w="2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December 17, 2020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PNC Bank</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16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2080" w:type="dxa"/>
            <w:vAlign w:val="bottom"/>
          </w:tcPr>
          <w:p>
            <w:pPr>
              <w:ind w:left="60"/>
              <w:spacing w:after="0"/>
              <w:rPr>
                <w:sz w:val="20"/>
                <w:szCs w:val="20"/>
                <w:color w:val="auto"/>
              </w:rPr>
            </w:pPr>
            <w:r>
              <w:rPr>
                <w:rFonts w:ascii="Arial" w:cs="Arial" w:eastAsia="Arial" w:hAnsi="Arial"/>
                <w:sz w:val="18"/>
                <w:szCs w:val="18"/>
                <w:color w:val="auto"/>
              </w:rPr>
              <w:t>January 31, 2022</w:t>
            </w: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November 30, 2023</w:t>
            </w:r>
          </w:p>
        </w:tc>
      </w:tr>
      <w:tr>
        <w:trPr>
          <w:trHeight w:val="210"/>
        </w:trPr>
        <w:tc>
          <w:tcPr>
            <w:tcW w:w="39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w:t>
            </w:r>
          </w:p>
        </w:tc>
        <w:tc>
          <w:tcPr>
            <w:tcW w:w="1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rates for borrowings under the lines of credit are set using the London InterBank Offered Rate (LIBOR) and adding a credit spread, which varies by financial institution. There is no requirement for a compensating balance under any of the established lines of credit. The Bank of America line of credit is renewed on an annual basis prior to its expiration.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September 30, 2020 under these credit lines is 1.18%.</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gridSpan w:val="3"/>
          </w:tcPr>
          <w:p>
            <w:pPr>
              <w:jc w:val="right"/>
              <w:ind w:right="81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8"/>
                <w:szCs w:val="18"/>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91"/>
              </w:rPr>
              <w:t>Nine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left="470"/>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18"/>
                <w:szCs w:val="18"/>
                <w:color w:val="auto"/>
              </w:rPr>
            </w:pPr>
          </w:p>
        </w:tc>
      </w:tr>
      <w:tr>
        <w:trPr>
          <w:trHeight w:val="237"/>
        </w:trPr>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2019</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2019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35,576</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58,259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31,372</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56,881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$36.5 million of borrowings outstanding as of September 30, 2020 are in October 2020 through December 2020 and are renewable at the discretion of the Company.</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also has an agreement with a non-affiliated NJBPU-regulated water utility for the purchase of treated water. This agreement, which expires February 28, 2026, provides for the minimum purchase of 3.0 mgd of treated water with provisions for additional purchases if needed.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Purchased water costs are shown below:</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7"/>
        </w:trPr>
        <w:tc>
          <w:tcPr>
            <w:tcW w:w="5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080" w:type="dxa"/>
            <w:vAlign w:val="bottom"/>
          </w:tcPr>
          <w:p>
            <w:pPr>
              <w:spacing w:after="0"/>
              <w:rPr>
                <w:sz w:val="18"/>
                <w:szCs w:val="18"/>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2540" w:type="dxa"/>
            <w:vAlign w:val="bottom"/>
            <w:gridSpan w:val="3"/>
          </w:tcPr>
          <w:p>
            <w:pPr>
              <w:jc w:val="right"/>
              <w:ind w:right="810"/>
              <w:spacing w:after="0"/>
              <w:rPr>
                <w:sz w:val="20"/>
                <w:szCs w:val="20"/>
                <w:color w:val="auto"/>
              </w:rPr>
            </w:pPr>
            <w:r>
              <w:rPr>
                <w:rFonts w:ascii="Arial" w:cs="Arial" w:eastAsia="Arial" w:hAnsi="Arial"/>
                <w:sz w:val="18"/>
                <w:szCs w:val="18"/>
                <w:color w:val="auto"/>
              </w:rPr>
              <w:t>Nine Months Ended</w:t>
            </w: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September 30,</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September 30,</w:t>
            </w:r>
          </w:p>
        </w:tc>
        <w:tc>
          <w:tcPr>
            <w:tcW w:w="100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933</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2,657</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Untreated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878</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878</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2,530</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2,521</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1,811</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1,696</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5,187</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4,936</w:t>
            </w:r>
          </w:p>
        </w:tc>
      </w:tr>
    </w:tbl>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Middlesex serves as guarantor of the performance of Applied</w:t>
      </w:r>
      <w:r>
        <w:rPr>
          <w:rFonts w:ascii="Arial" w:cs="Arial" w:eastAsia="Arial" w:hAnsi="Arial"/>
          <w:sz w:val="17"/>
          <w:szCs w:val="17"/>
          <w:b w:val="1"/>
          <w:bCs w:val="1"/>
          <w:color w:val="auto"/>
        </w:rPr>
        <w:t xml:space="preserve"> </w:t>
      </w:r>
      <w:r>
        <w:rPr>
          <w:rFonts w:ascii="Arial" w:cs="Arial" w:eastAsia="Arial" w:hAnsi="Arial"/>
          <w:sz w:val="17"/>
          <w:szCs w:val="17"/>
          <w:color w:val="auto"/>
        </w:rPr>
        <w:t>Water Management, Inc. (AWM), an unaffiliated wastewater treatment contractor and partner, to operate a County-owned leachate pretreatment facility at the Monmouth County Reclamation Center in Tinton Falls, New Jersey. The performance guaranty is effective through 2029 unless another guarantor, acceptable to the County, replaces Middlesex before such date. In addition, Middlesex may provide operational support to the facility, as needed. AWM and its parent company, Natural Systems Utilities (NSU), serve as guarantor to Middlesex with respect to the performance of AWM and have indemnified Middlesex against any claims that may arise under the Middlesex guaranty to the County.</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requested to perform under the guaranty to the County and, if AWM and NSU, as guarantor to Middlesex, do not fulfill their obligations to indemnify Middlesex against any claims that may arise under the Middlesex guaranty to the County, Middlesex would potentially be required to fulfill the remaining operational commitment of AWM. The liability and asset for the guaranty are included in Other Non-Current Liabilities and Other Non-Current Assets on the balance sheet and are approximately $1.3 million and $1.4 million as of September 30, 2020 and December 31, 2019, respectively.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Middlesex was notified that the County terminated its Agreement with AWM. AWM had initiated legal action against the County in the Superior Court of New Jersey, Monmouth County that in part contests the County’s exercise of this termination. The County filed a counter-claim against NSU and has brought Middlesex into the suit as a third-party defendant. We continue to monitor this litigation; however, given the cancellation of the underlying operating contract by the County, we do not anticipate the ultimate outcome will have a material impact on the Company’s results of operations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Leases - </w:t>
      </w:r>
      <w:r>
        <w:rPr>
          <w:rFonts w:ascii="Arial" w:cs="Arial" w:eastAsia="Arial" w:hAnsi="Arial"/>
          <w:sz w:val="18"/>
          <w:szCs w:val="18"/>
          <w:color w:val="auto"/>
        </w:rPr>
        <w:t>The Company determines if a contractual arrangement meets the criteria to be characterized as a lease at inception. Generally, a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exists if the Company determines that the arrangement gives the Company control over the use of an identified asset and obtains substantially all of the benefits from the identified asset.</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financing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Given the impact of accounting for regulated operations, and the resulting recognition of expense at the amounts recovered in customer rates, expenditures for operating leases are consistent with lease expense and were $0.2 million for each of the three months ended September 30, 2020 and 2019, respectively, and $0.6 million and $0.5 million for the nine months ended September 30, 2020 and 2019,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2"/>
              </w:rPr>
              <w:t>Information related to operating lease ROU assets and lease liabilities is as follows: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As of September 30,</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As of December 31,</w:t>
            </w: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w w:val="94"/>
              </w:rPr>
              <w:t>2019</w:t>
            </w:r>
          </w:p>
        </w:tc>
      </w:tr>
      <w:tr>
        <w:trPr>
          <w:trHeight w:val="209"/>
        </w:trPr>
        <w:tc>
          <w:tcPr>
            <w:tcW w:w="116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w:t>
            </w:r>
          </w:p>
        </w:tc>
      </w:tr>
      <w:tr>
        <w:trPr>
          <w:trHeight w:val="209"/>
        </w:trPr>
        <w:tc>
          <w:tcPr>
            <w:tcW w:w="116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7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r>
      <w:tr>
        <w:trPr>
          <w:trHeight w:val="493"/>
        </w:trPr>
        <w:tc>
          <w:tcPr>
            <w:tcW w:w="6180" w:type="dxa"/>
            <w:vAlign w:val="bottom"/>
            <w:gridSpan w:val="3"/>
          </w:tcPr>
          <w:p>
            <w:pPr>
              <w:spacing w:after="0"/>
              <w:rPr>
                <w:sz w:val="20"/>
                <w:szCs w:val="20"/>
                <w:color w:val="auto"/>
              </w:rPr>
            </w:pPr>
            <w:r>
              <w:rPr>
                <w:rFonts w:ascii="Arial" w:cs="Arial" w:eastAsia="Arial" w:hAnsi="Arial"/>
                <w:sz w:val="18"/>
                <w:szCs w:val="18"/>
                <w:color w:val="auto"/>
              </w:rPr>
              <w:t>The Company’s future minimum operating lease commitments are as follows: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7"/>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9"/>
              </w:rPr>
              <w:t>September 30, 2020</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Imputed Interest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(1.8)</w:t>
            </w:r>
          </w:p>
        </w:tc>
        <w:tc>
          <w:tcPr>
            <w:tcW w:w="1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Present Value of Lease Payments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(0.8)</w:t>
            </w:r>
          </w:p>
        </w:tc>
        <w:tc>
          <w:tcPr>
            <w:tcW w:w="1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Non-Current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Construction - </w:t>
      </w:r>
      <w:r>
        <w:rPr>
          <w:rFonts w:ascii="Arial" w:cs="Arial" w:eastAsia="Arial" w:hAnsi="Arial"/>
          <w:sz w:val="18"/>
          <w:szCs w:val="18"/>
          <w:color w:val="auto"/>
        </w:rPr>
        <w:t>The Company has forecasted to spend approximately $113 million for its construction program in 2020. The Company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several construction contracts that, in the aggregate, obligate expenditure of an estimated $41 million in the future. The timing and amount of capital expenditures is dependent on project scheduling and refinement of engineering estimates for certain projects and could be impacted if the effects of the COVID-19 pandemic continue for an extended period of time (for further discussion of the impact of COVID-19 on the Company, see </w:t>
      </w:r>
      <w:r>
        <w:rPr>
          <w:rFonts w:ascii="Arial" w:cs="Arial" w:eastAsia="Arial" w:hAnsi="Arial"/>
          <w:sz w:val="18"/>
          <w:szCs w:val="18"/>
          <w:i w:val="1"/>
          <w:iCs w:val="1"/>
          <w:color w:val="auto"/>
        </w:rPr>
        <w:t>Note 1-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Recent Developments, Recent Developments</w:t>
      </w:r>
      <w:r>
        <w:rPr>
          <w:rFonts w:ascii="Arial" w:cs="Arial" w:eastAsia="Arial" w:hAnsi="Arial"/>
          <w:sz w:val="18"/>
          <w:szCs w:val="18"/>
          <w:color w:val="auto"/>
        </w:rPr>
        <w:t>).</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Pension Benefits </w:t>
      </w:r>
      <w:r>
        <w:rPr>
          <w:rFonts w:ascii="Arial" w:cs="Arial" w:eastAsia="Arial" w:hAnsi="Arial"/>
          <w:sz w:val="17"/>
          <w:szCs w:val="17"/>
          <w:color w:val="auto"/>
        </w:rPr>
        <w:t>- The Company’s Pension Plan covers all active employees hired prior to April 1, 2007. Employees hired after March 31, 2007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this plan, but do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the three and nine month periods ended September 30, 2020, the Company did not make any Pension Plan cash contributions. For the three and nine month periods ended September 30, 2019, the Company made Pension Plan cash contributions of $1.3 million and $2.3 million, respectively. The Company expects to make Pension Plan cash contributions of approximately $3.0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retirement plan other than pensions (Other Benefits Plan) covers substantially all of its current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Employees hired after March 31, 2007 are not eligible to participate in this plan. Coverage includes healthcare and life insurance. For the three month period ended September 30, 2020, the Company did not make any Other Benefits Plan cash contributions. For the nine month period ended September 30, 2020, the Company made Other Benefits Plan cash contributions of $0.3 million. For the three and nine month periods ended September 30,</w:t>
      </w:r>
    </w:p>
    <w:p>
      <w:pPr>
        <w:sectPr>
          <w:pgSz w:w="11900" w:h="16838" w:orient="portrait"/>
          <w:cols w:equalWidth="0" w:num="1">
            <w:col w:w="11240"/>
          </w:cols>
          <w:pgMar w:left="320" w:top="122" w:right="33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2019, the Company made Other Benefits Plan cash contributions of $0.2 million and $0.6 million, respectively. The Company does not expect to make any additional Other Benefits Plan cash contributions over the remainder of the current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04"/>
        </w:trPr>
        <w:tc>
          <w:tcPr>
            <w:tcW w:w="9820" w:type="dxa"/>
            <w:vAlign w:val="bottom"/>
            <w:gridSpan w:val="8"/>
          </w:tcPr>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7"/>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center"/>
              <w:ind w:left="650"/>
              <w:spacing w:after="0"/>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gridSpan w:val="5"/>
          </w:tcPr>
          <w:p>
            <w:pPr>
              <w:jc w:val="center"/>
              <w:spacing w:after="0" w:line="195" w:lineRule="exact"/>
              <w:rPr>
                <w:sz w:val="20"/>
                <w:szCs w:val="20"/>
                <w:color w:val="auto"/>
              </w:rPr>
            </w:pPr>
            <w:r>
              <w:rPr>
                <w:rFonts w:ascii="Arial" w:cs="Arial" w:eastAsia="Arial" w:hAnsi="Arial"/>
                <w:sz w:val="18"/>
                <w:szCs w:val="18"/>
                <w:color w:val="auto"/>
                <w:w w:val="89"/>
              </w:rPr>
              <w:t>Three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169"/>
        </w:trPr>
        <w:tc>
          <w:tcPr>
            <w:tcW w:w="5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338</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6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r>
      <w:tr>
        <w:trPr>
          <w:trHeight w:val="371"/>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center"/>
              <w:ind w:left="650"/>
              <w:spacing w:after="0"/>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center"/>
              <w:ind w:right="50"/>
              <w:spacing w:after="0" w:line="195" w:lineRule="exact"/>
              <w:rPr>
                <w:sz w:val="20"/>
                <w:szCs w:val="20"/>
                <w:color w:val="auto"/>
              </w:rPr>
            </w:pPr>
            <w:r>
              <w:rPr>
                <w:rFonts w:ascii="Arial" w:cs="Arial" w:eastAsia="Arial" w:hAnsi="Arial"/>
                <w:sz w:val="18"/>
                <w:szCs w:val="18"/>
                <w:color w:val="auto"/>
                <w:w w:val="90"/>
              </w:rPr>
              <w:t>Nine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169"/>
        </w:trPr>
        <w:tc>
          <w:tcPr>
            <w:tcW w:w="5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1,274</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1,544</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1,014</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989</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1,891</w:t>
            </w:r>
          </w:p>
        </w:tc>
        <w:tc>
          <w:tcPr>
            <w:tcW w:w="6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cost is included in Operations and Maintenance expense on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revenues are primarily generated from regulated tariff-based sales of water and wastewater services to residential, industrial, commercial, fire protection and wholesale customers, as well as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and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at various times through June 2030 and thus contain remaining performance obligations for which the Company expects to recognize revenue in the future. These contracts also contain termination provisions.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404"/>
        </w:trPr>
        <w:tc>
          <w:tcPr>
            <w:tcW w:w="4920" w:type="dxa"/>
            <w:vAlign w:val="bottom"/>
            <w:gridSpan w:val="2"/>
          </w:tcPr>
          <w:p>
            <w:pPr>
              <w:spacing w:after="0"/>
              <w:rPr>
                <w:sz w:val="20"/>
                <w:szCs w:val="20"/>
                <w:color w:val="auto"/>
              </w:rPr>
            </w:pPr>
            <w:r>
              <w:rPr>
                <w:rFonts w:ascii="Arial" w:cs="Arial" w:eastAsia="Arial" w:hAnsi="Arial"/>
                <w:sz w:val="18"/>
                <w:szCs w:val="18"/>
                <w:color w:val="auto"/>
                <w:w w:val="91"/>
              </w:rPr>
              <w:t>The Company’s operating revenues are comprised of the following:</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gridSpan w:val="3"/>
          </w:tcPr>
          <w:p>
            <w:pPr>
              <w:jc w:val="right"/>
              <w:ind w:right="1010"/>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gridSpan w:val="3"/>
          </w:tcPr>
          <w:p>
            <w:pPr>
              <w:jc w:val="right"/>
              <w:ind w:right="270"/>
              <w:spacing w:after="0"/>
              <w:rPr>
                <w:sz w:val="20"/>
                <w:szCs w:val="20"/>
                <w:color w:val="auto"/>
              </w:rPr>
            </w:pPr>
            <w:r>
              <w:rPr>
                <w:rFonts w:ascii="Arial" w:cs="Arial" w:eastAsia="Arial" w:hAnsi="Arial"/>
                <w:sz w:val="18"/>
                <w:szCs w:val="18"/>
                <w:color w:val="auto"/>
                <w:w w:val="89"/>
              </w:rPr>
              <w:t>Three Months Ended September 30,</w:t>
            </w:r>
          </w:p>
        </w:tc>
        <w:tc>
          <w:tcPr>
            <w:tcW w:w="300" w:type="dxa"/>
            <w:vAlign w:val="bottom"/>
          </w:tcPr>
          <w:p>
            <w:pPr>
              <w:spacing w:after="0"/>
              <w:rPr>
                <w:sz w:val="18"/>
                <w:szCs w:val="18"/>
                <w:color w:val="auto"/>
              </w:rPr>
            </w:pPr>
          </w:p>
        </w:tc>
        <w:tc>
          <w:tcPr>
            <w:tcW w:w="3020" w:type="dxa"/>
            <w:vAlign w:val="bottom"/>
            <w:gridSpan w:val="3"/>
          </w:tcPr>
          <w:p>
            <w:pPr>
              <w:jc w:val="right"/>
              <w:ind w:right="270"/>
              <w:spacing w:after="0"/>
              <w:rPr>
                <w:sz w:val="20"/>
                <w:szCs w:val="20"/>
                <w:color w:val="auto"/>
              </w:rPr>
            </w:pPr>
            <w:r>
              <w:rPr>
                <w:rFonts w:ascii="Arial" w:cs="Arial" w:eastAsia="Arial" w:hAnsi="Arial"/>
                <w:sz w:val="18"/>
                <w:szCs w:val="18"/>
                <w:color w:val="auto"/>
                <w:w w:val="93"/>
              </w:rPr>
              <w:t>Nine Months Ended September 30,</w:t>
            </w:r>
          </w:p>
        </w:tc>
      </w:tr>
      <w:tr>
        <w:trPr>
          <w:trHeight w:val="230"/>
        </w:trPr>
        <w:tc>
          <w:tcPr>
            <w:tcW w:w="4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22,340</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20,693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58,475</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54,453</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4,660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11,678</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11,539</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42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2,629</w:t>
            </w:r>
          </w:p>
        </w:tc>
        <w:tc>
          <w:tcPr>
            <w:tcW w:w="6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2,723</w:t>
            </w:r>
          </w:p>
        </w:tc>
        <w:tc>
          <w:tcPr>
            <w:tcW w:w="3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6,885</w:t>
            </w:r>
          </w:p>
        </w:tc>
        <w:tc>
          <w:tcPr>
            <w:tcW w:w="6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7,242</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3,129</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9,235</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9,211</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42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4,028</w:t>
            </w:r>
          </w:p>
        </w:tc>
        <w:tc>
          <w:tcPr>
            <w:tcW w:w="6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3,813</w:t>
            </w:r>
          </w:p>
        </w:tc>
        <w:tc>
          <w:tcPr>
            <w:tcW w:w="3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11,553</w:t>
            </w:r>
          </w:p>
        </w:tc>
        <w:tc>
          <w:tcPr>
            <w:tcW w:w="6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10,582</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3,100</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2,919</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9,034</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8,729</w:t>
            </w:r>
          </w:p>
        </w:tc>
      </w:tr>
      <w:tr>
        <w:trPr>
          <w:trHeight w:val="209"/>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39,886</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37,735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106,860</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101,756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255</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441</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42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303</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(325)</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(647)</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0"/>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39,920</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37,769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106,965</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101,859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2019, the Company paid $2.7 million in connection with the conclusion and closing of the 2014-2017 tax return audits and $0.1 million in interest in connection with the conclusion and closing of the 2014 and 2015 tax return audits. As of September 30, 2020, the Company has reduced its income tax reserve provision and interest expense liability to $0.5 million and $0.2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performance, prospects and earnings of the Company;</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24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safety and reliability of the Company’s equipment, facilities and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increases in competition for growth in non-franchised markets to be potentially served by the Company;</w:t>
      </w:r>
    </w:p>
    <w:p>
      <w:pPr>
        <w:spacing w:after="0" w:line="29" w:lineRule="exact"/>
        <w:rPr>
          <w:rFonts w:ascii="Arial" w:cs="Arial" w:eastAsia="Arial" w:hAnsi="Arial"/>
          <w:sz w:val="24"/>
          <w:szCs w:val="24"/>
          <w:color w:val="auto"/>
          <w:vertAlign w:val="superscript"/>
        </w:rPr>
      </w:pPr>
    </w:p>
    <w:p>
      <w:pPr>
        <w:ind w:left="660" w:right="3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actions taken by government regulators, including decisions on rate increase requests;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weather variations and other natural phenomena impacting utility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financial and operating risks associated with acquisitions and, or privatizations;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changes in the pace of housing development;</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availability and cost of capital resources;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or other pandemic;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other factors discussed elsewhere in this quarterly report.</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51,000 retail customers in New Castle, Kent and Sussex Counties, Delaware. Tidewater’s subsidiary, White Marsh, services approximately 1,800 customers in Delaware and Maryland through various operations and maintenance contracts.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3,800 residential retail customers in Sussex Counties, Delaware.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Beginning July 1, 2020, USA began operating the Borough of Highland Park, New Jersey’s water and wastewater systems. USA also provides unregulated water and wastewater services under contract with several other New Jersey municipalities.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Pennsylvania subsidiary, Twin Lakes, provides water services to approximately 120 retail customers in the Township of Shohola, Pike County, Pennsylvania.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 On March 13, 2020, the United States declared the COVID-19 pandemic a national emergency. The impact on changing economic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due to COVID-19 is uncertain and could affect the Company’s results of operations, financial condition and liquidity in the future. While the Company’s operations and capital construction program have not been significantly disrupted to-date from COVID-19, we are unable to assess with certainty the impact that COVID-19 will have on our business, our customers and our vendors prospectively, due to numerous uncertainties, including the severity of the pandemic, the duration of the outbreak and actions which could potentially be taken by governmental and/or regulatory authorities.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Jersey Board of Public Utilities (NJBPU) and the Delaware Public Service Commission have allowed for potential future recovery of COVID-19 related incremental costs through customer rates by the regulated utilities under their respective jurisdictions. Neither jurisdiction has yet to establish a timetable or definitive method for formally providing for cost recovery. We will continue to monitor the COVID-19 situation and evaluate its impact on the Company’s business, results of operations, financial condition and liquidity.</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Contract Operations </w:t>
      </w:r>
      <w:r>
        <w:rPr>
          <w:rFonts w:ascii="Arial" w:cs="Arial" w:eastAsia="Arial" w:hAnsi="Arial"/>
          <w:sz w:val="17"/>
          <w:szCs w:val="17"/>
          <w:color w:val="auto"/>
        </w:rPr>
        <w:t>– In May 2020, USA, through a competitive bidding process, was awarded a ten-year, $8.3 million contract to operate and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the Borough of Highland Park, New Jersey’s (Highland Park) water and wastewater systems. The contract commenced July 1, 2020.</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$113 million in 2020 in connection with this plan for projects that include, but are not limited to:</w:t>
      </w:r>
    </w:p>
    <w:p>
      <w:pPr>
        <w:spacing w:after="0" w:line="42" w:lineRule="exact"/>
        <w:rPr>
          <w:sz w:val="20"/>
          <w:szCs w:val="20"/>
          <w:color w:val="auto"/>
        </w:rPr>
      </w:pPr>
    </w:p>
    <w:p>
      <w:pPr>
        <w:ind w:left="660" w:right="220" w:hanging="328"/>
        <w:spacing w:after="0" w:line="21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Among other enhancements in overall reliability of service and redundancy, implementing an enhanced treatment process using ozone as the primary disinfectant at the Company’s largest water treatment plant in Edison, New Jersey, to mitigate the formation of disinfection by-products which can develop from the present chlorine-based disinfection process;</w:t>
      </w:r>
    </w:p>
    <w:p>
      <w:pPr>
        <w:spacing w:after="0" w:line="27" w:lineRule="exact"/>
        <w:rPr>
          <w:rFonts w:ascii="Arial" w:cs="Arial" w:eastAsia="Arial" w:hAnsi="Arial"/>
          <w:sz w:val="27"/>
          <w:szCs w:val="27"/>
          <w:color w:val="auto"/>
        </w:rPr>
      </w:pPr>
    </w:p>
    <w:p>
      <w:pPr>
        <w:ind w:left="660" w:right="320" w:hanging="328"/>
        <w:spacing w:after="0" w:line="21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Enhanced treatment processes at the Company’s primary wellfield in South Plainfield, New Jersey to comply with recently promulgated, more stringent water quality regulations with respect to Perfluoroalkyl substances (PFAS) and integrate surge mitigation along with revisions to corrosion control and chlorination;</w:t>
      </w:r>
    </w:p>
    <w:p>
      <w:pPr>
        <w:spacing w:after="0" w:line="40" w:lineRule="exact"/>
        <w:rPr>
          <w:rFonts w:ascii="Arial" w:cs="Arial" w:eastAsia="Arial" w:hAnsi="Arial"/>
          <w:sz w:val="27"/>
          <w:szCs w:val="27"/>
          <w:color w:val="auto"/>
        </w:rPr>
      </w:pPr>
    </w:p>
    <w:p>
      <w:pPr>
        <w:ind w:left="660" w:hanging="328"/>
        <w:spacing w:after="0" w:line="207"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Replacement of approximately six miles of water mains including service lines, valves, fire hydrants and meters in the Township of Edison and the City of South Amboy, New Jersey;</w:t>
      </w:r>
    </w:p>
    <w:p>
      <w:pPr>
        <w:ind w:left="660" w:hanging="328"/>
        <w:spacing w:after="0" w:line="20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Construction of a new replacement wastewater treatment plant to serve our customers in the Town of Milton, Delaware;</w:t>
      </w:r>
    </w:p>
    <w:p>
      <w:pPr>
        <w:spacing w:after="0" w:line="43" w:lineRule="exact"/>
        <w:rPr>
          <w:rFonts w:ascii="Arial" w:cs="Arial" w:eastAsia="Arial" w:hAnsi="Arial"/>
          <w:sz w:val="27"/>
          <w:szCs w:val="27"/>
          <w:color w:val="auto"/>
        </w:rPr>
      </w:pPr>
    </w:p>
    <w:p>
      <w:pPr>
        <w:ind w:left="660" w:right="160" w:hanging="328"/>
        <w:spacing w:after="0" w:line="19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Relocation of water meters from inside customers’ premises to exterior meter pits to allow more timely access by crews in emergencies, enhance customer safety and convenience and reduce non-revenue water;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Additional standby emergency power generation.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actual amount and timing of capital expenditures is dependent on project scheduling and refinement of engineering estimates for certain capital projects and may be significantly impacted if the effects of COVID-19 continue for an extended period of time (for further discussion of the impact of COVID-19 on the Company, see </w:t>
      </w:r>
      <w:r>
        <w:rPr>
          <w:rFonts w:ascii="Arial" w:cs="Arial" w:eastAsia="Arial" w:hAnsi="Arial"/>
          <w:sz w:val="18"/>
          <w:szCs w:val="18"/>
          <w:i w:val="1"/>
          <w:iCs w:val="1"/>
          <w:color w:val="auto"/>
        </w:rPr>
        <w:t>Note 1- Basis of Presentation and Recent Developments, Recent Developments</w:t>
      </w:r>
      <w:r>
        <w:rPr>
          <w:rFonts w:ascii="Arial" w:cs="Arial" w:eastAsia="Arial" w:hAnsi="Arial"/>
          <w:sz w:val="18"/>
          <w:szCs w:val="18"/>
          <w:color w:val="auto"/>
        </w:rPr>
        <w: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Twin Lakes Base Rate Increase - </w:t>
      </w:r>
      <w:r>
        <w:rPr>
          <w:rFonts w:ascii="Arial" w:cs="Arial" w:eastAsia="Arial" w:hAnsi="Arial"/>
          <w:sz w:val="18"/>
          <w:szCs w:val="18"/>
          <w:color w:val="auto"/>
        </w:rPr>
        <w:t>In March 2020, the Pennsylvania Public Utilities Commission (PAPUC) approved a $0.1 million increase in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base rates for Twin Lakes. In July 2019, Twin Lakes had filed a petition with the PAPUC seeking permission to increase annualized base rates by approximately $0.2 million, necessitated by capital infrastructure investments and increased operations and maintenance costs. The new rates became effective April 19, 2020.</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Middlesex Private Placement – </w:t>
      </w:r>
      <w:r>
        <w:rPr>
          <w:rFonts w:ascii="Arial" w:cs="Arial" w:eastAsia="Arial" w:hAnsi="Arial"/>
          <w:sz w:val="17"/>
          <w:szCs w:val="17"/>
          <w:color w:val="auto"/>
        </w:rPr>
        <w:t>In May 2020, Middlesex received approval from the NJBPU to borrow up to $100.0 million, in one or more private</w:t>
      </w:r>
      <w:r>
        <w:rPr>
          <w:rFonts w:ascii="Arial" w:cs="Arial" w:eastAsia="Arial" w:hAnsi="Arial"/>
          <w:sz w:val="17"/>
          <w:szCs w:val="17"/>
          <w:b w:val="1"/>
          <w:bCs w:val="1"/>
          <w:color w:val="auto"/>
        </w:rPr>
        <w:t xml:space="preserve"> </w:t>
      </w:r>
      <w:r>
        <w:rPr>
          <w:rFonts w:ascii="Arial" w:cs="Arial" w:eastAsia="Arial" w:hAnsi="Arial"/>
          <w:sz w:val="17"/>
          <w:szCs w:val="17"/>
          <w:color w:val="auto"/>
        </w:rPr>
        <w:t>placement transactions to help fund Middlesex’s multi-year capital construction program. Middlesex expects to close on a $40.0 million loan on or about November 18, 2020. Middlesex will issue a First Mortgage Bond with a payment maturity date of November 2050 at an interest rate of 2.90%.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Normally, our ability to increase operating income and net income is based significantly on four factors: weather, adequate and timely rate relief, effective cost management and customer growth (which are evident in comparison discussions in the Results of Operations section below). As operating costs have increased in 2020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 An additional factor that is expected to affect our outlook over the remainder of 2020 is the impact of COVID-19 on the general economy and the resulting impact on our customers. For example, while many commercial business operations have closed or curtailed operations as a result of the State of Emergency Orders (SEOs) issued by the Governors of the respective states in which we operate, resulting in lower water demand for that class of customer, usage by residential customers has increased due in part to SEOs and remote working arrangements (for further discussion of the impact of COVID-19 on the Company, see </w:t>
      </w:r>
      <w:r>
        <w:rPr>
          <w:rFonts w:ascii="Arial" w:cs="Arial" w:eastAsia="Arial" w:hAnsi="Arial"/>
          <w:sz w:val="16"/>
          <w:szCs w:val="16"/>
          <w:i w:val="1"/>
          <w:iCs w:val="1"/>
          <w:color w:val="auto"/>
        </w:rPr>
        <w:t>Note 1- Basis of Presentation and Recent Developments, Recent</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Developments</w:t>
      </w:r>
      <w:r>
        <w:rPr>
          <w:rFonts w:ascii="Arial" w:cs="Arial" w:eastAsia="Arial" w:hAnsi="Arial"/>
          <w:sz w:val="16"/>
          <w:szCs w:val="16"/>
          <w:color w:val="auto"/>
        </w:rPr>
        <w:t>). In addition, our customer collection efforts have been suspended based on SEOs. Those same SEOs have declared utility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to be essential and therefore, are allowed to continue subject to nationally-established COVID-19 safety precautions.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2020 is expected to be consistent with that experienced in recent years.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strategy for profitable growth is focused on the following key areas:</w:t>
      </w: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314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risk/reward profile.</w:t>
      </w:r>
    </w:p>
    <w:p>
      <w:pPr>
        <w:spacing w:after="0" w:line="18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TESI and Twin Lakes; Non-Regulated-USA, USA-PA, and White Marsh.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right"/>
              <w:ind w:right="40"/>
              <w:spacing w:after="0"/>
              <w:rPr>
                <w:sz w:val="20"/>
                <w:szCs w:val="20"/>
                <w:color w:val="auto"/>
              </w:rPr>
            </w:pPr>
            <w:r>
              <w:rPr>
                <w:rFonts w:ascii="Arial" w:cs="Arial" w:eastAsia="Arial" w:hAnsi="Arial"/>
                <w:sz w:val="18"/>
                <w:szCs w:val="18"/>
                <w:color w:val="auto"/>
              </w:rPr>
              <w:t>Three Months Ended 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rPr>
              <w:t>Non-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Regulated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39,920</w:t>
            </w: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15,859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17,669</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w:t>
            </w:r>
          </w:p>
        </w:tc>
        <w:tc>
          <w:tcPr>
            <w:tcW w:w="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4,006</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3,808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3,871</w:t>
            </w:r>
          </w:p>
        </w:tc>
        <w:tc>
          <w:tcPr>
            <w:tcW w:w="20" w:type="dxa"/>
            <w:vAlign w:val="bottom"/>
            <w:tcBorders>
              <w:bottom w:val="single" w:sz="8" w:color="auto"/>
            </w:tcBorders>
          </w:tcPr>
          <w:p>
            <w:pPr>
              <w:spacing w:after="0"/>
              <w:rPr>
                <w:sz w:val="18"/>
                <w:szCs w:val="18"/>
                <w:color w:val="auto"/>
              </w:rPr>
            </w:pPr>
          </w:p>
        </w:tc>
      </w:tr>
      <w:tr>
        <w:trPr>
          <w:trHeight w:val="21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w:t>
            </w:r>
          </w:p>
        </w:tc>
        <w:tc>
          <w:tcPr>
            <w:tcW w:w="20" w:type="dxa"/>
            <w:vAlign w:val="bottom"/>
            <w:shd w:val="clear" w:color="auto" w:fill="CCEEFF"/>
          </w:tcPr>
          <w:p>
            <w:pPr>
              <w:spacing w:after="0"/>
              <w:rPr>
                <w:sz w:val="18"/>
                <w:szCs w:val="18"/>
                <w:color w:val="auto"/>
              </w:rPr>
            </w:pPr>
          </w:p>
        </w:tc>
      </w:tr>
      <w:tr>
        <w:trPr>
          <w:trHeight w:val="210"/>
        </w:trPr>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39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11,993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12,737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11,119</w:t>
            </w:r>
          </w:p>
        </w:tc>
        <w:tc>
          <w:tcPr>
            <w:tcW w:w="20" w:type="dxa"/>
            <w:vAlign w:val="bottom"/>
          </w:tcPr>
          <w:p>
            <w:pPr>
              <w:spacing w:after="0"/>
              <w:rPr>
                <w:sz w:val="18"/>
                <w:szCs w:val="18"/>
                <w:color w:val="auto"/>
              </w:rPr>
            </w:pPr>
          </w:p>
        </w:tc>
      </w:tr>
      <w:tr>
        <w:trPr>
          <w:trHeight w:val="426"/>
        </w:trPr>
        <w:tc>
          <w:tcPr>
            <w:tcW w:w="38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03"/>
        </w:trPr>
        <w:tc>
          <w:tcPr>
            <w:tcW w:w="38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for the three months ended September 30, 2020 increased $2.2 million from the same period in 2019 due to the following factors: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3520"/>
        <w:spacing w:after="0" w:line="323" w:lineRule="auto"/>
        <w:rPr>
          <w:sz w:val="20"/>
          <w:szCs w:val="20"/>
          <w:color w:val="auto"/>
        </w:rPr>
      </w:pPr>
      <w:r>
        <w:rPr>
          <w:rFonts w:ascii="Arial" w:cs="Arial" w:eastAsia="Arial" w:hAnsi="Arial"/>
          <w:sz w:val="17"/>
          <w:szCs w:val="17"/>
          <w:color w:val="auto"/>
        </w:rPr>
        <w:t>Middlesex System revenues increased $1.4 million due to increased customer water consumption; Tidewater System revenues increased $0.4 million due to additional customers;</w:t>
      </w:r>
    </w:p>
    <w:p>
      <w:pPr>
        <w:spacing w:after="0"/>
        <w:rPr>
          <w:sz w:val="20"/>
          <w:szCs w:val="20"/>
          <w:color w:val="auto"/>
        </w:rPr>
      </w:pPr>
      <w:r>
        <w:rPr>
          <w:rFonts w:ascii="Arial" w:cs="Arial" w:eastAsia="Arial" w:hAnsi="Arial"/>
          <w:sz w:val="18"/>
          <w:szCs w:val="18"/>
          <w:color w:val="auto"/>
        </w:rPr>
        <w:t>Pinelands revenues increased $0.1 million due to the base rate increase that went into effect in November 2019;</w:t>
      </w:r>
    </w:p>
    <w:p>
      <w:pPr>
        <w:spacing w:after="0" w:line="6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 xml:space="preserve">Non-regulated revenues increased $0.2 million due to USA’s new contract to operate and maintain the Highland Park’s water and wastewater systems (for further information, see discussion under </w:t>
      </w:r>
      <w:r>
        <w:rPr>
          <w:rFonts w:ascii="Arial" w:cs="Arial" w:eastAsia="Arial" w:hAnsi="Arial"/>
          <w:sz w:val="18"/>
          <w:szCs w:val="18"/>
          <w:i w:val="1"/>
          <w:iCs w:val="1"/>
          <w:color w:val="auto"/>
        </w:rPr>
        <w:t>Recent Developments-Contract Operations</w:t>
      </w:r>
      <w:r>
        <w:rPr>
          <w:rFonts w:ascii="Arial" w:cs="Arial" w:eastAsia="Arial" w:hAnsi="Arial"/>
          <w:sz w:val="18"/>
          <w:szCs w:val="18"/>
          <w:color w:val="auto"/>
        </w:rPr>
        <w:t>) and increased supplemental services under existing contracts;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 other revenue categories increased $0.1 million.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September 30, 2020 increased $0.3 million from the same period in 2019 due to the following factors:</w:t>
      </w:r>
    </w:p>
    <w:p>
      <w:pPr>
        <w:sectPr>
          <w:pgSz w:w="11900" w:h="16838" w:orient="portrait"/>
          <w:cols w:equalWidth="0" w:num="1">
            <w:col w:w="11240"/>
          </w:cols>
          <w:pgMar w:left="320" w:top="121" w:right="339" w:bottom="1440" w:gutter="0" w:footer="0" w:header="0"/>
          <w:type w:val="continuous"/>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Variable production costs increased $0.5 million due to higher customer water consumption and higher treatment costs due to weather-impacted changes in raw water quality;</w:t>
      </w:r>
    </w:p>
    <w:p>
      <w:pPr>
        <w:spacing w:after="0" w:line="8" w:lineRule="exact"/>
        <w:rPr>
          <w:sz w:val="20"/>
          <w:szCs w:val="20"/>
          <w:color w:val="auto"/>
        </w:rPr>
      </w:pPr>
    </w:p>
    <w:p>
      <w:pPr>
        <w:ind w:right="240"/>
        <w:spacing w:after="0" w:line="305" w:lineRule="auto"/>
        <w:rPr>
          <w:sz w:val="20"/>
          <w:szCs w:val="20"/>
          <w:color w:val="auto"/>
        </w:rPr>
      </w:pPr>
      <w:r>
        <w:rPr>
          <w:rFonts w:ascii="Arial" w:cs="Arial" w:eastAsia="Arial" w:hAnsi="Arial"/>
          <w:sz w:val="18"/>
          <w:szCs w:val="18"/>
          <w:color w:val="auto"/>
        </w:rPr>
        <w:t>Retirement benefit plan expenses increased $0.4 million primarily due to higher actuarially-determined retirement benefit plan service expense; Bad debt expense increased $0.1 million due to expected increases in future write-offs due to COVID-19;</w:t>
      </w:r>
    </w:p>
    <w:p>
      <w:pPr>
        <w:spacing w:after="0"/>
        <w:rPr>
          <w:sz w:val="20"/>
          <w:szCs w:val="20"/>
          <w:color w:val="auto"/>
        </w:rPr>
      </w:pPr>
      <w:r>
        <w:rPr>
          <w:rFonts w:ascii="Arial" w:cs="Arial" w:eastAsia="Arial" w:hAnsi="Arial"/>
          <w:sz w:val="18"/>
          <w:szCs w:val="18"/>
          <w:color w:val="auto"/>
        </w:rPr>
        <w:t>Information technology costs increased $0.1 million due to higher managed service and licensing costs;</w:t>
      </w:r>
    </w:p>
    <w:p>
      <w:pPr>
        <w:spacing w:after="0" w:line="63"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Labor costs decreased $1.0 million due to payments made in 2019 to retiring employees partially offset by current year wage increases overall averaging approximately 3%;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other operation and maintenance expense categories increased $0.2 million.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September 30, 2020 increased $0.5 million from the same period in 2019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taxes for the three months ended September 30, 2020 increased $0.2 million from the same period in 2019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September 30, 2020 increased $0.5 million from the same period in 2019 primarily due to higher Allowance for Funds Used During Construction resulting from a higher level of capital projects in progress and lower actuarially-determined postretirement benefit plan non-service expense.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September 30, 2020 decreased $0.1 million from the same period in 2019 due to an overall lower level of debt outstanding and lower average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from income taxes for the three months ended September 30, 2020 was $0.2 million lower than for the same period in 2019, primarily due to higher pre-tax operating income</w:t>
      </w:r>
      <w:r>
        <w:rPr>
          <w:rFonts w:ascii="Arial" w:cs="Arial" w:eastAsia="Arial" w:hAnsi="Arial"/>
          <w:sz w:val="18"/>
          <w:szCs w:val="18"/>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September 30, 2020 increased $1.6 million as compared with the same period in 2019. Basic earnings per share were $0.73 and $0.67 for the three months ended September 30, 2020 and 2019, respectively. Diluted earnings per share were $0.72 and $0.66 for the three months ended September 30,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Nine Months Ended September 30,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6"/>
          </w:tcPr>
          <w:p>
            <w:pPr>
              <w:jc w:val="right"/>
              <w:ind w:right="78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0"/>
                <w:szCs w:val="20"/>
                <w:color w:val="auto"/>
              </w:rPr>
            </w:pPr>
          </w:p>
        </w:tc>
        <w:tc>
          <w:tcPr>
            <w:tcW w:w="2600" w:type="dxa"/>
            <w:vAlign w:val="bottom"/>
            <w:gridSpan w:val="8"/>
          </w:tcPr>
          <w:p>
            <w:pPr>
              <w:jc w:val="right"/>
              <w:ind w:right="60"/>
              <w:spacing w:after="0"/>
              <w:rPr>
                <w:sz w:val="20"/>
                <w:szCs w:val="20"/>
                <w:color w:val="auto"/>
              </w:rPr>
            </w:pPr>
            <w:r>
              <w:rPr>
                <w:rFonts w:ascii="Arial" w:cs="Arial" w:eastAsia="Arial" w:hAnsi="Arial"/>
                <w:sz w:val="18"/>
                <w:szCs w:val="18"/>
                <w:color w:val="auto"/>
                <w:w w:val="89"/>
              </w:rPr>
              <w:t>Nine Months Ended September 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7"/>
              </w:rPr>
              <w:t>Non-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Regulated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Regulated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97,931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106,965</w:t>
            </w: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46,567</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45,233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50,569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11,120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11,318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10,731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9"/>
        </w:trPr>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28,364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1,754</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30,118</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23,700</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2,118</w:t>
            </w:r>
          </w:p>
        </w:tc>
        <w:tc>
          <w:tcPr>
            <w:tcW w:w="3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25,818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nine months ended September 30, 2020 increased $5.1 million from the same period in 2019 due to the following factors:</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3520"/>
        <w:spacing w:after="0" w:line="323" w:lineRule="auto"/>
        <w:rPr>
          <w:sz w:val="20"/>
          <w:szCs w:val="20"/>
          <w:color w:val="auto"/>
        </w:rPr>
      </w:pPr>
      <w:r>
        <w:rPr>
          <w:rFonts w:ascii="Arial" w:cs="Arial" w:eastAsia="Arial" w:hAnsi="Arial"/>
          <w:sz w:val="17"/>
          <w:szCs w:val="17"/>
          <w:color w:val="auto"/>
        </w:rPr>
        <w:t>Middlesex System revenues increased $2.5 million due to increased customer water consumption; Tidewater System revenues increased $1.8 million due to additional customers;</w:t>
      </w:r>
    </w:p>
    <w:p>
      <w:pPr>
        <w:spacing w:after="0"/>
        <w:rPr>
          <w:sz w:val="20"/>
          <w:szCs w:val="20"/>
          <w:color w:val="auto"/>
        </w:rPr>
      </w:pPr>
      <w:r>
        <w:rPr>
          <w:rFonts w:ascii="Arial" w:cs="Arial" w:eastAsia="Arial" w:hAnsi="Arial"/>
          <w:sz w:val="18"/>
          <w:szCs w:val="18"/>
          <w:color w:val="auto"/>
        </w:rPr>
        <w:t>Pinelands revenues increased $0.4 million due to the base rate increase that went into effect in November 2019;</w:t>
      </w:r>
    </w:p>
    <w:p>
      <w:pPr>
        <w:spacing w:after="0" w:line="6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 xml:space="preserve">Non-regulated revenues increased $0.3 million due to USA’s new contract to operate and maintain the Highland Park’s water and wastewater systems (for further information, see discussion under </w:t>
      </w:r>
      <w:r>
        <w:rPr>
          <w:rFonts w:ascii="Arial" w:cs="Arial" w:eastAsia="Arial" w:hAnsi="Arial"/>
          <w:sz w:val="18"/>
          <w:szCs w:val="18"/>
          <w:i w:val="1"/>
          <w:iCs w:val="1"/>
          <w:color w:val="auto"/>
        </w:rPr>
        <w:t>Recent Developments-Contract Operations</w:t>
      </w:r>
      <w:r>
        <w:rPr>
          <w:rFonts w:ascii="Arial" w:cs="Arial" w:eastAsia="Arial" w:hAnsi="Arial"/>
          <w:sz w:val="18"/>
          <w:szCs w:val="18"/>
          <w:color w:val="auto"/>
        </w:rPr>
        <w:t>) and increased supplemental services under existing contracts;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 other revenue categories increased $0.1 million.</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134620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nine months ended September 30, 2020 increased $2.2 million from the same period in 2019 due to the following factors:</w:t>
      </w:r>
    </w:p>
    <w:p>
      <w:pPr>
        <w:sectPr>
          <w:pgSz w:w="11900" w:h="16838" w:orient="portrait"/>
          <w:cols w:equalWidth="0" w:num="1">
            <w:col w:w="11240"/>
          </w:cols>
          <w:pgMar w:left="320" w:top="121" w:right="339" w:bottom="1440" w:gutter="0" w:footer="0" w:header="0"/>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Variable production costs increased $1.3 million due to higher customer water consumption and higher treatment costs due to weather-impacted changes in raw water quality;</w:t>
      </w:r>
    </w:p>
    <w:p>
      <w:pPr>
        <w:spacing w:after="0" w:line="2"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color w:val="auto"/>
        </w:rPr>
        <w:t>Retirement benefit plan expenses increased $0.8 million primarily due to higher actuarially-determined retirement benefit plan service expense; Bad debt expense increased $0.2 million due to expected increases in future write-offs due to COVID-19;</w:t>
      </w:r>
    </w:p>
    <w:p>
      <w:pPr>
        <w:ind w:right="440"/>
        <w:spacing w:after="0" w:line="290" w:lineRule="auto"/>
        <w:rPr>
          <w:sz w:val="20"/>
          <w:szCs w:val="20"/>
          <w:color w:val="auto"/>
        </w:rPr>
      </w:pPr>
      <w:r>
        <w:rPr>
          <w:rFonts w:ascii="Arial" w:cs="Arial" w:eastAsia="Arial" w:hAnsi="Arial"/>
          <w:sz w:val="17"/>
          <w:szCs w:val="17"/>
          <w:color w:val="auto"/>
        </w:rPr>
        <w:t>Labor costs decreased $0.5 million due to payments made in 2019 to retiring employees partially offset by additional employees required for regulatory and other operational needs, and current year wage increases overall averaging approximately 3%; and</w:t>
      </w:r>
    </w:p>
    <w:p>
      <w:pPr>
        <w:spacing w:after="0"/>
        <w:rPr>
          <w:sz w:val="20"/>
          <w:szCs w:val="20"/>
          <w:color w:val="auto"/>
        </w:rPr>
      </w:pPr>
      <w:r>
        <w:rPr>
          <w:rFonts w:ascii="Arial" w:cs="Arial" w:eastAsia="Arial" w:hAnsi="Arial"/>
          <w:sz w:val="18"/>
          <w:szCs w:val="18"/>
          <w:color w:val="auto"/>
        </w:rPr>
        <w:t>All other operation and maintenance expense categories increased $0.4 million.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nine months ended September 30, 2020 increased $1.4 million from the same period in 2019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nine months ended September 30, 2020 increased $0.4 million from the same period in 2019 primarily due to higher revenue related taxes on increased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nine months ended September 30, 2020 increased $2.1 million from the same period in 2019 primarily due to higher Allowance for Funds Used During Construction resulting from a higher level of capital projects in progress and lower actuarially-determined postretirement benefit plan non-service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nine months ended September 30, 2020 increased $0.5 million from the same period in 2019 due to higher average long-term debt outstanding partially offset by lower average short-term debt outstanding and lower average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for the nine months ended September 30, 2020 increased overall by $1.6 million from the same period in 2019, primarily due to the regulatory accounting treatment of tax benefits associated with the adoption of Internal Revenue Service tangible property regulations, which was approved in Middlesex’s 2018 New Jersey base rate case decision.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nine months ended September 30, 2020 increased $4.3 million as compared with the same period in 2019. Basic earnings per share were $1.72 and $1.56 for the nine months ended September 30, 2020 and 2019, respectively. Diluted earnings per share were $1.71 and $1.55 for the nine months ended September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2020, cash flows from operating activities increased $13.9 million to $37.3 million. The increase in cash flows from operating activities primarily resulted from reduced income tax payments, reduced employee benefit plan contributions and higher net income.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cash flows used in investing activities increased $9.6 million to $70.8 million. The increase in cash flows used in investing activities resulted from increased utility plant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cash flows from financing activities decreased $74.1 million to $15.2 million. The decrease in cash flows provided by financing activities is due to lower proceeds from the issuance of long-term debt and common stock under the Middlesex Water Company Investment Plan (the Investment Plan) partially offset by the net increase in short-term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capital investment program for 2020 is currently estimated to be approximately $113 million. Through September 30, 2020, we have expended $71 million and expect to incur approximately $42 million for capital projects for the remainder of 2020.</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currently project we will expend approximately $179 million for capital projects in 2021 and 2022. The actual amount and timing of capital expenditures is dependent on project scheduling and refinement of engineering estimates for certain capital projects. The timing of capital expenditures could be impacted if the effects of COVID-19 continue for an extended period of time (for further discussion of the impact of COVID-19 on the Company, see the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section of </w:t>
      </w:r>
      <w:r>
        <w:rPr>
          <w:rFonts w:ascii="Arial" w:cs="Arial" w:eastAsia="Arial" w:hAnsi="Arial"/>
          <w:sz w:val="17"/>
          <w:szCs w:val="17"/>
          <w:i w:val="1"/>
          <w:iCs w:val="1"/>
          <w:color w:val="auto"/>
        </w:rPr>
        <w:t>Note 1</w:t>
      </w:r>
      <w:r>
        <w:rPr>
          <w:rFonts w:ascii="Arial" w:cs="Arial" w:eastAsia="Arial" w:hAnsi="Arial"/>
          <w:sz w:val="17"/>
          <w:szCs w:val="17"/>
          <w:color w:val="auto"/>
        </w:rPr>
        <w:t xml:space="preserve"> of the Notes to the Unaudited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fund our capital program for the remainder of 2020, we plan on utilizing:</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Short-term borrowings, as needed, through $140 million of lines of credit established with three financial institutions. As of September 30, 2020, there was $103.5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of the Notes to the Unaudited Condensed Consolidated Financial Statements);</w:t>
      </w:r>
    </w:p>
    <w:p>
      <w:pPr>
        <w:spacing w:after="0" w:line="2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100" w:hanging="328"/>
        <w:spacing w:after="0" w:line="207"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Proceeds from the New Jersey State Revolving Fund (SRF). SRF programs provide low cost financing for projects that meet certain water quality and system improvement benchmarks;</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860"/>
        <w:spacing w:after="0" w:line="305" w:lineRule="auto"/>
        <w:rPr>
          <w:sz w:val="20"/>
          <w:szCs w:val="20"/>
          <w:color w:val="auto"/>
        </w:rPr>
      </w:pPr>
      <w:r>
        <w:rPr>
          <w:rFonts w:ascii="Arial" w:cs="Arial" w:eastAsia="Arial" w:hAnsi="Arial"/>
          <w:sz w:val="18"/>
          <w:szCs w:val="18"/>
          <w:color w:val="auto"/>
        </w:rPr>
        <w:t>Proceeds from the August 2019 issuance and sale of First Mortgage Bonds through the New Jersey Economic Development Authority; Proceeds from the Investment Plan; and</w:t>
      </w:r>
    </w:p>
    <w:p>
      <w:pPr>
        <w:ind w:right="600"/>
        <w:spacing w:after="0" w:line="277" w:lineRule="auto"/>
        <w:rPr>
          <w:sz w:val="20"/>
          <w:szCs w:val="20"/>
          <w:color w:val="auto"/>
        </w:rPr>
      </w:pPr>
      <w:r>
        <w:rPr>
          <w:rFonts w:ascii="Arial" w:cs="Arial" w:eastAsia="Arial" w:hAnsi="Arial"/>
          <w:sz w:val="18"/>
          <w:szCs w:val="18"/>
          <w:color w:val="auto"/>
        </w:rPr>
        <w:t xml:space="preserve">Proceeds from the sale and issuance of debt securities in a private placement offering (for further information, see discussion under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Developments-Middlesex Private Placement</w:t>
      </w: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consistent with the basis on which customers’ rates are established for a regulated water utility, Middlesex may offer for sale additional shares of its common stock. The amount, the timing and the method of sale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risk factor is provided to update the risk factors previously disclosed under the heading “Risk Factors” set forth in Part I, Item 1A. of the Company’s Annual Report on Form 10-K for the year ended December 31, 2019.</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Novel Coronavirus (COVID-19) pandemic and the attempt to contain it may harm our business, results of operations, financial condition and liquidity.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2020, the United States declared the COVID-19 pandemic a national emergency. The impact that COVID-19 will have on the Company, our customers and our vendors prospectively depends on numerous uncertainties, including the severity of the pandemic, the duration of the outbreak, and actions which could potentially be taken by governmental and/or regulatory authorities’ and could have an adverse effect on the Company’s business, results of operations, financial condition, and liquidity.</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680" w:right="620" w:hanging="674"/>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10.33(d) </w:t>
      </w:r>
      <w:hyperlink w:anchor="page31">
        <w:r>
          <w:rPr>
            <w:rFonts w:ascii="Arial" w:cs="Arial" w:eastAsia="Arial" w:hAnsi="Arial"/>
            <w:sz w:val="17"/>
            <w:szCs w:val="17"/>
            <w:u w:val="single" w:color="auto"/>
            <w:color w:val="0000EE"/>
          </w:rPr>
          <w:t>Amendment, dated September 21, 2020, to the Uncommitted Line of Credit between the Company, Tidewater Utilities, Inc., White Marsh</w:t>
        </w:r>
      </w:hyperlink>
      <w:r>
        <w:rPr>
          <w:rFonts w:ascii="Arial" w:cs="Arial" w:eastAsia="Arial" w:hAnsi="Arial"/>
          <w:sz w:val="17"/>
          <w:szCs w:val="17"/>
          <w:color w:val="auto"/>
        </w:rPr>
        <w:t xml:space="preserve"> </w:t>
      </w:r>
      <w:hyperlink w:anchor="page31">
        <w:r>
          <w:rPr>
            <w:rFonts w:ascii="Arial" w:cs="Arial" w:eastAsia="Arial" w:hAnsi="Arial"/>
            <w:sz w:val="17"/>
            <w:szCs w:val="17"/>
            <w:u w:val="single" w:color="auto"/>
            <w:color w:val="0000EE"/>
          </w:rPr>
          <w:t>Environmental Systems, Inc., Pinelands Water Company, Pinelands Wastewater Company, Utility Service Affiliates, Inc., Utility Service</w:t>
        </w:r>
      </w:hyperlink>
      <w:r>
        <w:rPr>
          <w:rFonts w:ascii="Arial" w:cs="Arial" w:eastAsia="Arial" w:hAnsi="Arial"/>
          <w:sz w:val="17"/>
          <w:szCs w:val="17"/>
          <w:u w:val="single" w:color="auto"/>
          <w:color w:val="0000EE"/>
        </w:rPr>
        <w:t xml:space="preserve"> </w:t>
      </w:r>
      <w:hyperlink w:anchor="page31">
        <w:r>
          <w:rPr>
            <w:rFonts w:ascii="Arial" w:cs="Arial" w:eastAsia="Arial" w:hAnsi="Arial"/>
            <w:sz w:val="17"/>
            <w:szCs w:val="17"/>
            <w:u w:val="single" w:color="auto"/>
            <w:color w:val="0000EE"/>
          </w:rPr>
          <w:t>Affiliates (Perth Amboy) Inc., Tidewater Environmental Services, Inc., and Bank of America, N.A.,</w:t>
        </w:r>
      </w:hyperlink>
    </w:p>
    <w:p>
      <w:pPr>
        <w:spacing w:after="0" w:line="165" w:lineRule="exact"/>
        <w:rPr>
          <w:rFonts w:ascii="Arial" w:cs="Arial" w:eastAsia="Arial" w:hAnsi="Arial"/>
          <w:sz w:val="17"/>
          <w:szCs w:val="17"/>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w:anchor="page33">
        <w:r>
          <w:rPr>
            <w:rFonts w:ascii="Arial" w:cs="Arial" w:eastAsia="Arial" w:hAnsi="Arial"/>
            <w:sz w:val="16"/>
            <w:szCs w:val="16"/>
            <w:u w:val="single" w:color="auto"/>
            <w:color w:val="0000EE"/>
          </w:rPr>
          <w:t>Fourth Amendment to Promissory Note and Supplement, dated as of August 19, 2020, between Tidewater Utilities, Inc. and CoBank, ACB,</w:t>
        </w:r>
      </w:hyperlink>
    </w:p>
    <w:p>
      <w:pPr>
        <w:spacing w:after="0" w:line="225" w:lineRule="exact"/>
        <w:rPr>
          <w:rFonts w:ascii="Arial" w:cs="Arial" w:eastAsia="Arial" w:hAnsi="Arial"/>
          <w:sz w:val="17"/>
          <w:szCs w:val="17"/>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7">
        <w:r>
          <w:rPr>
            <w:rFonts w:ascii="Arial" w:cs="Arial" w:eastAsia="Arial" w:hAnsi="Arial"/>
            <w:sz w:val="16"/>
            <w:szCs w:val="16"/>
            <w:u w:val="single" w:color="auto"/>
            <w:color w:val="0000EE"/>
          </w:rPr>
          <w:t>Section 302 Certification by Dennis W. Doll pursuant to Rules 13a-14 and 15d-14 of the Securities Exchange Act of 1934.</w:t>
        </w:r>
      </w:hyperlink>
    </w:p>
    <w:p>
      <w:pPr>
        <w:spacing w:after="0" w:line="225" w:lineRule="exact"/>
        <w:rPr>
          <w:rFonts w:ascii="Arial" w:cs="Arial" w:eastAsia="Arial" w:hAnsi="Arial"/>
          <w:sz w:val="17"/>
          <w:szCs w:val="17"/>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8">
        <w:r>
          <w:rPr>
            <w:rFonts w:ascii="Arial" w:cs="Arial" w:eastAsia="Arial" w:hAnsi="Arial"/>
            <w:sz w:val="16"/>
            <w:szCs w:val="16"/>
            <w:u w:val="single" w:color="auto"/>
            <w:color w:val="0000EE"/>
          </w:rPr>
          <w:t>Section 302 Certification by A. Bruce O’Connor pursuant to Rules 13a-14 and 15d-14 of the Securities Exchange Act of 1934.</w:t>
        </w:r>
      </w:hyperlink>
    </w:p>
    <w:p>
      <w:pPr>
        <w:spacing w:after="0" w:line="225" w:lineRule="exact"/>
        <w:rPr>
          <w:rFonts w:ascii="Arial" w:cs="Arial" w:eastAsia="Arial" w:hAnsi="Arial"/>
          <w:sz w:val="17"/>
          <w:szCs w:val="17"/>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9">
        <w:r>
          <w:rPr>
            <w:rFonts w:ascii="Arial" w:cs="Arial" w:eastAsia="Arial" w:hAnsi="Arial"/>
            <w:sz w:val="16"/>
            <w:szCs w:val="16"/>
            <w:u w:val="single" w:color="auto"/>
            <w:color w:val="0000EE"/>
          </w:rPr>
          <w:t>Section 906 Certification by Dennis W. Doll pursuant to 18 U.S.C. §1350, as adopted pursuant to Section 302 of the Sarbanes-Oxley Act of 2002.</w:t>
        </w:r>
      </w:hyperlink>
    </w:p>
    <w:p>
      <w:pPr>
        <w:spacing w:after="0" w:line="225" w:lineRule="exact"/>
        <w:rPr>
          <w:rFonts w:ascii="Arial" w:cs="Arial" w:eastAsia="Arial" w:hAnsi="Arial"/>
          <w:sz w:val="17"/>
          <w:szCs w:val="17"/>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40">
        <w:r>
          <w:rPr>
            <w:rFonts w:ascii="Arial" w:cs="Arial" w:eastAsia="Arial" w:hAnsi="Arial"/>
            <w:sz w:val="16"/>
            <w:szCs w:val="16"/>
            <w:u w:val="single" w:color="auto"/>
            <w:color w:val="0000EE"/>
          </w:rPr>
          <w:t>Section 906 Certification by A. Bruce O’Connor pursuant to 18 U.S.C. §1350, as adopted pursuant to Section 302 of the Sarbanes-Oxley Act of</w:t>
        </w:r>
      </w:hyperlink>
    </w:p>
    <w:p>
      <w:pPr>
        <w:spacing w:after="0" w:line="23" w:lineRule="exact"/>
        <w:rPr>
          <w:rFonts w:ascii="Arial" w:cs="Arial" w:eastAsia="Arial" w:hAnsi="Arial"/>
          <w:sz w:val="17"/>
          <w:szCs w:val="17"/>
          <w:color w:val="auto"/>
        </w:rPr>
      </w:pPr>
    </w:p>
    <w:p>
      <w:pPr>
        <w:ind w:left="6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32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324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3240" w:type="dxa"/>
            <w:vAlign w:val="bottom"/>
          </w:tcPr>
          <w:p>
            <w:pPr>
              <w:ind w:left="340"/>
              <w:spacing w:after="0"/>
              <w:rPr>
                <w:sz w:val="20"/>
                <w:szCs w:val="20"/>
                <w:color w:val="auto"/>
              </w:rPr>
            </w:pPr>
            <w:r>
              <w:rPr>
                <w:rFonts w:ascii="Arial" w:cs="Arial" w:eastAsia="Arial" w:hAnsi="Arial"/>
                <w:sz w:val="18"/>
                <w:szCs w:val="18"/>
                <w:color w:val="auto"/>
                <w:w w:val="94"/>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3240" w:type="dxa"/>
            <w:vAlign w:val="bottom"/>
          </w:tcPr>
          <w:p>
            <w:pPr>
              <w:ind w:left="3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3240" w:type="dxa"/>
            <w:vAlign w:val="bottom"/>
          </w:tcPr>
          <w:p>
            <w:pPr>
              <w:ind w:left="340"/>
              <w:spacing w:after="0"/>
              <w:rPr>
                <w:sz w:val="20"/>
                <w:szCs w:val="20"/>
                <w:color w:val="auto"/>
              </w:rPr>
            </w:pPr>
            <w:r>
              <w:rPr>
                <w:rFonts w:ascii="Arial" w:cs="Arial" w:eastAsia="Arial" w:hAnsi="Arial"/>
                <w:sz w:val="18"/>
                <w:szCs w:val="18"/>
                <w:color w:val="auto"/>
                <w:w w:val="90"/>
              </w:rPr>
              <w:t>XBRL Presentation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3240" w:type="dxa"/>
            <w:vAlign w:val="bottom"/>
          </w:tcPr>
          <w:p>
            <w:pPr>
              <w:ind w:left="340"/>
              <w:spacing w:after="0"/>
              <w:rPr>
                <w:sz w:val="20"/>
                <w:szCs w:val="20"/>
                <w:color w:val="auto"/>
              </w:rPr>
            </w:pPr>
            <w:r>
              <w:rPr>
                <w:rFonts w:ascii="Arial" w:cs="Arial" w:eastAsia="Arial" w:hAnsi="Arial"/>
                <w:sz w:val="18"/>
                <w:szCs w:val="18"/>
                <w:color w:val="auto"/>
                <w:w w:val="98"/>
              </w:rPr>
              <w:t>XBRL Definition Linkbase Document</w:t>
            </w:r>
          </w:p>
        </w:tc>
      </w:tr>
    </w:tbl>
    <w:p>
      <w:pPr>
        <w:spacing w:after="0" w:line="202" w:lineRule="exact"/>
        <w:rPr>
          <w:rFonts w:ascii="Arial" w:cs="Arial" w:eastAsia="Arial" w:hAnsi="Arial"/>
          <w:sz w:val="17"/>
          <w:szCs w:val="17"/>
          <w:color w:val="auto"/>
        </w:rPr>
      </w:pPr>
    </w:p>
    <w:p>
      <w:pPr>
        <w:ind w:left="1340" w:right="60" w:hanging="1332"/>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ectPr>
          <w:pgSz w:w="11900" w:h="16838" w:orient="portrait"/>
          <w:cols w:equalWidth="0" w:num="1">
            <w:col w:w="11240"/>
          </w:cols>
          <w:pgMar w:left="320" w:top="121" w:right="339" w:bottom="1440" w:gutter="0" w:footer="0" w:header="0"/>
        </w:sectPr>
      </w:pPr>
    </w:p>
    <w:p>
      <w:pPr>
        <w:spacing w:after="0" w:line="170"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21" w:lineRule="exact"/>
        <w:rPr>
          <w:sz w:val="20"/>
          <w:szCs w:val="20"/>
          <w:color w:val="auto"/>
        </w:rPr>
      </w:pPr>
    </w:p>
    <w:tbl>
      <w:tblPr>
        <w:tblLayout w:type="fixed"/>
        <w:tblInd w:w="73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2"/>
          </w:tcPr>
          <w:p>
            <w:pPr>
              <w:spacing w:after="0"/>
              <w:rPr>
                <w:sz w:val="20"/>
                <w:szCs w:val="20"/>
                <w:color w:val="auto"/>
              </w:rPr>
            </w:pPr>
            <w:r>
              <w:rPr>
                <w:rFonts w:ascii="Arial" w:cs="Arial" w:eastAsia="Arial" w:hAnsi="Arial"/>
                <w:sz w:val="18"/>
                <w:szCs w:val="18"/>
                <w:color w:val="auto"/>
              </w:rPr>
              <w:t>/s/ A. Bruce O’Connor</w:t>
            </w:r>
          </w:p>
        </w:tc>
      </w:tr>
      <w:tr>
        <w:trPr>
          <w:trHeight w:val="209"/>
        </w:trPr>
        <w:tc>
          <w:tcPr>
            <w:tcW w:w="56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w:t>
            </w:r>
          </w:p>
        </w:tc>
        <w:tc>
          <w:tcPr>
            <w:tcW w:w="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October 30,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10.33d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Amendment (the "Amendment"), dated as of September 21, 2020, is between Bank of America, N.A., a national banking association (the "Bank") and Middlesex Water Company, a New Jersey corporation, and its subsidiaries, Tidewater Utilities, Inc., a Delaware corporation, White Marsh Environmental Systems, Inc., a Delaware corporation, Pinelands Water Company, a New Jersey corporation, Pinelands Wastewater Company, a New Jersey corporation, Utility Service Affiliates, Inc., a New Jersey corporation, Utility Service Affiliates (Perth Amboy) Inc., a New Jersey corporation, and Tidewater Environmental Services, Inc., a Delaware corporation, as joint and several co-borrowers (parent and subsidiary corporations individually and collectively referred to herein as "Borrower").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The Bank and the Borrower entered into a certain Letter Agreement ("Letter Agreement") and Master Promissory Note ("Note"), each dated September 25, 2015, evidencing an uncommitted line of credit in the maximum amount of Twenty Eight Million Dollars ($28,000,000), increased by Amendment dated as of September 19, 2017 to maximum amount Forty Million Dollars ($40,000,000); and increased by Amendment dated as of September 23, 2019 to maximum amount of Sixty Million Dollars ($60,000,000) (The Letter Agreement and the Note as amended and extended from time to time are referred to herein as the "Loan Documents").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The Bank and the Borrower desire to amend the Loan Documents to extend the Expiration Date and to address other changes to the Loan Documents.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Capitalized terms used but not defined in this Amendment shall have the meaning given to them in the Loan Documents.</w:t>
      </w:r>
    </w:p>
    <w:p>
      <w:pPr>
        <w:spacing w:after="0" w:line="209" w:lineRule="exact"/>
        <w:rPr>
          <w:rFonts w:ascii="Arial" w:cs="Arial" w:eastAsia="Arial" w:hAnsi="Arial"/>
          <w:sz w:val="17"/>
          <w:szCs w:val="17"/>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Amendments.</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Letter Agreement is hereby amended as follows:</w:t>
      </w:r>
    </w:p>
    <w:p>
      <w:pPr>
        <w:spacing w:after="0" w:line="171" w:lineRule="exact"/>
        <w:rPr>
          <w:sz w:val="20"/>
          <w:szCs w:val="20"/>
          <w:color w:val="auto"/>
        </w:rPr>
      </w:pPr>
    </w:p>
    <w:p>
      <w:pPr>
        <w:ind w:left="540" w:right="20" w:firstLine="332"/>
        <w:spacing w:after="0" w:line="277" w:lineRule="auto"/>
        <w:tabs>
          <w:tab w:leader="none" w:pos="10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"September 18, 2020" is hereby substituted for "December 17, 2020" in the section entitled "Expiration Date" on page one of the Letter Agreement.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The Note is hereby amended as follows:</w:t>
      </w:r>
    </w:p>
    <w:p>
      <w:pPr>
        <w:spacing w:after="0" w:line="171" w:lineRule="exact"/>
        <w:rPr>
          <w:sz w:val="20"/>
          <w:szCs w:val="20"/>
          <w:color w:val="auto"/>
        </w:rPr>
      </w:pPr>
    </w:p>
    <w:p>
      <w:pPr>
        <w:ind w:left="1100" w:hanging="228"/>
        <w:spacing w:after="0"/>
        <w:tabs>
          <w:tab w:leader="none" w:pos="11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"September 18, 2020" in subsection (b) of the second paragraph of the Note is hereby deleted and "December 17, 2020" is substituted in its</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place.</w:t>
      </w:r>
    </w:p>
    <w:p>
      <w:pPr>
        <w:spacing w:after="0" w:line="197" w:lineRule="exact"/>
        <w:rPr>
          <w:rFonts w:ascii="Arial" w:cs="Arial" w:eastAsia="Arial" w:hAnsi="Arial"/>
          <w:sz w:val="16"/>
          <w:szCs w:val="16"/>
          <w:color w:val="auto"/>
        </w:rPr>
      </w:pPr>
    </w:p>
    <w:p>
      <w:pPr>
        <w:jc w:val="both"/>
        <w:ind w:firstLine="656"/>
        <w:spacing w:after="0" w:line="257" w:lineRule="auto"/>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Representations and Warranties. When the Borrower signs this Amendment, the Borrower represents and warrants to the Bank that: (a) there is no event which is, or with notice or lapse of time or both would be, a Notice Event under the Loan Documents, (b) this Amendment does not conflict with any law, agreement, or obligation by which the Borrower is bound, (c) this Amendment is within the Borrower's powers, has been duly authorized, and does not conflict with any of the Borrower's organizational papers, and (d) representations and warranties set forth in the Note are confirmed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firstLine="656"/>
        <w:spacing w:after="0" w:line="277" w:lineRule="auto"/>
        <w:tabs>
          <w:tab w:leader="none" w:pos="8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 of Amendment. This Amendment is effective as of September 18, 2020. Except as provided in this Amendment, all of the terms and conditions of the Loan Documents shall remain in full force and effect.</w:t>
      </w:r>
    </w:p>
    <w:p>
      <w:pPr>
        <w:spacing w:after="0" w:line="143" w:lineRule="exact"/>
        <w:rPr>
          <w:rFonts w:ascii="Arial" w:cs="Arial" w:eastAsia="Arial" w:hAnsi="Arial"/>
          <w:sz w:val="18"/>
          <w:szCs w:val="18"/>
          <w:color w:val="auto"/>
        </w:rPr>
      </w:pPr>
    </w:p>
    <w:p>
      <w:pPr>
        <w:ind w:right="20" w:firstLine="656"/>
        <w:spacing w:after="0" w:line="277" w:lineRule="auto"/>
        <w:tabs>
          <w:tab w:leader="none" w:pos="8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Counterparts. This Amendment may be executed in counterparts, each of which when so executed shall be deemed an original, but all such counterparts together shall constitute but one and the same instrument.</w:t>
      </w:r>
    </w:p>
    <w:p>
      <w:pPr>
        <w:spacing w:after="0" w:line="156" w:lineRule="exact"/>
        <w:rPr>
          <w:rFonts w:ascii="Arial" w:cs="Arial" w:eastAsia="Arial" w:hAnsi="Arial"/>
          <w:sz w:val="18"/>
          <w:szCs w:val="18"/>
          <w:color w:val="auto"/>
        </w:rPr>
      </w:pPr>
    </w:p>
    <w:p>
      <w:pPr>
        <w:jc w:val="both"/>
        <w:ind w:firstLine="656"/>
        <w:spacing w:after="0" w:line="279" w:lineRule="auto"/>
        <w:tabs>
          <w:tab w:leader="none" w:pos="8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FINAL AGREEMENT. BY SIGNING THIS DOCUMENT, EACH PARTY REPRESENTS AND AGREES THAT: (A) THIS DOCUMENT REPRESENTS THE FINAL AGREEMENT BETWEEN PARTIES WITH RESPECT TO THE SUBJECT MATTER HEREOF, (B) THERE ARE NO UNWRITTEN ORAL AGREEMENTS BETWEEN THE PARTIES, AND (C) THIS DOCUMENT MAY NOT BE CONTRADICTED BY EVIDENCE OF ANY PRIOR, CONTEMPORANEOUS, OR SUBSEQUENT ORAL AGREEMENTS OR UNDERSTANDINGS OF THE PARTIES.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parties executed this Amendment as of the date stated at the beginning of this Amendment, intending to create an instrument executed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Dilcia P.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Dilcia P. Hill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Sr. VP,Treasurer &amp; CFO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Tidewater Utilities,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White March Environmental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Pinelands Wastewater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VP &amp;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Utility Service Affiliates,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Utility Service Affiliates (Perth Amboy)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VP &amp;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Tidewater Environmental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Name/Title: </w:t>
      </w:r>
      <w:r>
        <w:rPr>
          <w:rFonts w:ascii="Arial" w:cs="Arial" w:eastAsia="Arial" w:hAnsi="Arial"/>
          <w:sz w:val="18"/>
          <w:szCs w:val="18"/>
          <w:u w:val="single" w:color="auto"/>
          <w:color w:val="auto"/>
        </w:rPr>
        <w:t>A. Bruce O’Connor,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Loan No. RX0024T6D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 AND SUPPLEMENT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Term Loan)</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THIS FOURTH AMENDMENT TO PROMISSORY NOTE AND SUPPLEMENT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August 19,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2020, between </w:t>
      </w:r>
      <w:r>
        <w:rPr>
          <w:rFonts w:ascii="Arial" w:cs="Arial" w:eastAsia="Arial" w:hAnsi="Arial"/>
          <w:sz w:val="18"/>
          <w:szCs w:val="18"/>
          <w:b w:val="1"/>
          <w:bCs w:val="1"/>
          <w:color w:val="auto"/>
        </w:rPr>
        <w:t>TIDEWATER UTILITIES,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CoBANK, ACB</w:t>
      </w:r>
      <w:r>
        <w:rPr>
          <w:rFonts w:ascii="Arial" w:cs="Arial" w:eastAsia="Arial" w:hAnsi="Arial"/>
          <w:sz w:val="18"/>
          <w:szCs w:val="18"/>
          <w:color w:val="auto"/>
        </w:rPr>
        <w:t>, a federally chartered instrumentality of the United States (“</w:t>
      </w:r>
      <w:r>
        <w:rPr>
          <w:rFonts w:ascii="Arial" w:cs="Arial" w:eastAsia="Arial" w:hAnsi="Arial"/>
          <w:sz w:val="18"/>
          <w:szCs w:val="18"/>
          <w:u w:val="single" w:color="auto"/>
          <w:color w:val="auto"/>
        </w:rPr>
        <w:t>CoBank</w:t>
      </w:r>
      <w:r>
        <w:rPr>
          <w:rFonts w:ascii="Arial" w:cs="Arial" w:eastAsia="Arial" w:hAnsi="Arial"/>
          <w:sz w:val="18"/>
          <w:szCs w:val="18"/>
          <w:color w:val="auto"/>
        </w:rPr>
        <w: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and CoBank are parties to a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and a Third Amendment to Promissory Note and Supplement dated as of March 7, 2017 (collectively, the “</w:t>
      </w:r>
      <w:r>
        <w:rPr>
          <w:rFonts w:ascii="Arial" w:cs="Arial" w:eastAsia="Arial" w:hAnsi="Arial"/>
          <w:sz w:val="18"/>
          <w:szCs w:val="18"/>
          <w:u w:val="single" w:color="auto"/>
          <w:color w:val="auto"/>
        </w:rPr>
        <w:t>Supplement</w:t>
      </w:r>
      <w:r>
        <w:rPr>
          <w:rFonts w:ascii="Arial" w:cs="Arial" w:eastAsia="Arial" w:hAnsi="Arial"/>
          <w:sz w:val="18"/>
          <w:szCs w:val="18"/>
          <w:color w:val="auto"/>
        </w:rPr>
        <w:t>”). The parties now desire to amend the Supplement.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acknowledged, the parties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 Defined Terms</w:t>
      </w:r>
      <w:r>
        <w:rPr>
          <w:rFonts w:ascii="Arial" w:cs="Arial" w:eastAsia="Arial" w:hAnsi="Arial"/>
          <w:sz w:val="18"/>
          <w:szCs w:val="18"/>
          <w:color w:val="auto"/>
        </w:rPr>
        <w:t>. All capitalized terms used herein and not defined herein shall have the meanings given to those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in the “MLA” (as defined in the Supplement).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Amendments</w:t>
      </w:r>
      <w:r>
        <w:rPr>
          <w:rFonts w:ascii="Arial" w:cs="Arial" w:eastAsia="Arial" w:hAnsi="Arial"/>
          <w:sz w:val="18"/>
          <w:szCs w:val="18"/>
          <w:color w:val="auto"/>
        </w:rPr>
        <w:t>.</w:t>
      </w:r>
    </w:p>
    <w:p>
      <w:pPr>
        <w:spacing w:after="0" w:line="216"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Section 3 of the Supplement is hereby amended and restated to read as follows:</w:t>
      </w:r>
    </w:p>
    <w:p>
      <w:pPr>
        <w:spacing w:after="0" w:line="2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3. Term. </w:t>
      </w:r>
      <w:r>
        <w:rPr>
          <w:rFonts w:ascii="Arial" w:cs="Arial" w:eastAsia="Arial" w:hAnsi="Arial"/>
          <w:sz w:val="18"/>
          <w:szCs w:val="18"/>
          <w:color w:val="auto"/>
        </w:rPr>
        <w:t>The term of the Commitment shall be from the date hereof, up to and including November 30, 2023, or such later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CoBank may, in its sole discretion, authorize in writing.</w:t>
      </w:r>
    </w:p>
    <w:p>
      <w:pPr>
        <w:spacing w:after="0" w:line="139"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Section 5(A)(2) of the Supplement is hereby amended and restated to read as follows:</w:t>
      </w:r>
    </w:p>
    <w:p>
      <w:pPr>
        <w:spacing w:after="0" w:line="167" w:lineRule="exact"/>
        <w:rPr>
          <w:rFonts w:ascii="Arial" w:cs="Arial" w:eastAsia="Arial" w:hAnsi="Arial"/>
          <w:sz w:val="18"/>
          <w:szCs w:val="18"/>
          <w:b w:val="1"/>
          <w:bCs w:val="1"/>
          <w:color w:val="auto"/>
        </w:rPr>
      </w:pPr>
    </w:p>
    <w:p>
      <w:pPr>
        <w:jc w:val="both"/>
        <w:ind w:left="540" w:firstLine="332"/>
        <w:spacing w:after="0" w:line="258" w:lineRule="auto"/>
        <w:tabs>
          <w:tab w:leader="none" w:pos="1126"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Quoted Fixed Rate Option</w:t>
      </w:r>
      <w:r>
        <w:rPr>
          <w:rFonts w:ascii="Arial" w:cs="Arial" w:eastAsia="Arial" w:hAnsi="Arial"/>
          <w:sz w:val="18"/>
          <w:szCs w:val="18"/>
          <w:color w:val="auto"/>
        </w:rPr>
        <w:t>. At a fixed rate per annum to be quoted by CoBank in its sole discretion in each instance (the “</w:t>
      </w:r>
      <w:r>
        <w:rPr>
          <w:rFonts w:ascii="Arial" w:cs="Arial" w:eastAsia="Arial" w:hAnsi="Arial"/>
          <w:sz w:val="18"/>
          <w:szCs w:val="18"/>
          <w:u w:val="single" w:color="auto"/>
          <w:color w:val="auto"/>
        </w:rPr>
        <w:t>Quoted Fixed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Rate Option</w:t>
      </w:r>
      <w:r>
        <w:rPr>
          <w:rFonts w:ascii="Arial" w:cs="Arial" w:eastAsia="Arial" w:hAnsi="Arial"/>
          <w:sz w:val="18"/>
          <w:szCs w:val="18"/>
          <w:color w:val="auto"/>
        </w:rPr>
        <w:t>”). Under this option, rates may be fixed on such balances and for such periods (each a “</w:t>
      </w:r>
      <w:r>
        <w:rPr>
          <w:rFonts w:ascii="Arial" w:cs="Arial" w:eastAsia="Arial" w:hAnsi="Arial"/>
          <w:sz w:val="18"/>
          <w:szCs w:val="18"/>
          <w:u w:val="single" w:color="auto"/>
          <w:color w:val="auto"/>
        </w:rPr>
        <w:t>Quoted Fixed Rate Period</w:t>
      </w:r>
      <w:r>
        <w:rPr>
          <w:rFonts w:ascii="Arial" w:cs="Arial" w:eastAsia="Arial" w:hAnsi="Arial"/>
          <w:sz w:val="18"/>
          <w:szCs w:val="18"/>
          <w:color w:val="auto"/>
        </w:rPr>
        <w:t>”) as may be agreeable to CoBank in its sole discretion in each instance; provided that: (1) rates may not be fixed for periods of less than 365 days; (2) rates may be fixed on balances of $100,000 or multiples thereof; and (3) the maximum number of balances that may be subject to this option at any one time shall be five (5).</w:t>
      </w:r>
    </w:p>
    <w:p>
      <w:pPr>
        <w:spacing w:after="0" w:line="173" w:lineRule="exact"/>
        <w:rPr>
          <w:rFonts w:ascii="Arial" w:cs="Arial" w:eastAsia="Arial" w:hAnsi="Arial"/>
          <w:sz w:val="18"/>
          <w:szCs w:val="18"/>
          <w:b w:val="1"/>
          <w:bCs w:val="1"/>
          <w:color w:val="auto"/>
        </w:rPr>
      </w:pPr>
    </w:p>
    <w:p>
      <w:pPr>
        <w:ind w:left="960" w:hanging="304"/>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Section 5(A)(3) of the Supplement is hereby amended and restated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left="-8" w:firstLine="332"/>
        <w:spacing w:after="0" w:line="283" w:lineRule="auto"/>
        <w:tabs>
          <w:tab w:leader="none" w:pos="578" w:val="left"/>
        </w:tabs>
        <w:numPr>
          <w:ilvl w:val="2"/>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LIBOR Option</w:t>
      </w:r>
      <w:r>
        <w:rPr>
          <w:rFonts w:ascii="Arial" w:cs="Arial" w:eastAsia="Arial" w:hAnsi="Arial"/>
          <w:sz w:val="16"/>
          <w:szCs w:val="16"/>
          <w:color w:val="auto"/>
        </w:rPr>
        <w:t>. At a fixed rate per annum equal to LIBOR (as hereinafter defined), plus 1.35%. Under this option: (1) rates may be fixed</w:t>
      </w:r>
      <w:r>
        <w:rPr>
          <w:rFonts w:ascii="Arial" w:cs="Arial" w:eastAsia="Arial" w:hAnsi="Arial"/>
          <w:sz w:val="16"/>
          <w:szCs w:val="16"/>
          <w:b w:val="1"/>
          <w:bCs w:val="1"/>
          <w:color w:val="auto"/>
        </w:rPr>
        <w:t xml:space="preserve"> </w:t>
      </w:r>
      <w:r>
        <w:rPr>
          <w:rFonts w:ascii="Arial" w:cs="Arial" w:eastAsia="Arial" w:hAnsi="Arial"/>
          <w:sz w:val="16"/>
          <w:szCs w:val="16"/>
          <w:color w:val="auto"/>
        </w:rPr>
        <w:t>for Interest Periods (as hereinafter defined) of 1, 2, 3, 6, 12 months, as selected by the Company; (2) amounts may be fixed in an amount not less than $100,000.00; (3) the maximum number of fixes in place at any one time will be five; (4) rates may only be fixed on a Banking Day (as hereinafter defined) on three Banking Days’ prior written notice, and (5) no Interest Period will end later than the maturity date of the Commitment as may be extended from time to time. For purposes hereof: (a) “</w:t>
      </w:r>
      <w:r>
        <w:rPr>
          <w:rFonts w:ascii="Arial" w:cs="Arial" w:eastAsia="Arial" w:hAnsi="Arial"/>
          <w:sz w:val="16"/>
          <w:szCs w:val="16"/>
          <w:u w:val="single" w:color="auto"/>
          <w:color w:val="auto"/>
        </w:rPr>
        <w:t>LIBOR</w:t>
      </w:r>
      <w:r>
        <w:rPr>
          <w:rFonts w:ascii="Arial" w:cs="Arial" w:eastAsia="Arial" w:hAnsi="Arial"/>
          <w:sz w:val="16"/>
          <w:szCs w:val="16"/>
          <w:color w:val="auto"/>
        </w:rPr>
        <w:t>” means the higher of: (i) zero percent (0.000%); or (ii) the rate (rounded upward to the nearest 1/100th and adjusted for reserves required on Eurocurrency Liabilities (as hereinafter defined) for banks subject to FRB Regulation D (as hereinafter defined) or required by any other federal law or regulation) reported at 11:00 a.m. London time two Banking Days before the commencement of the Interest Period for the offering of U.S. dollar deposits in the London interbank market for the Interest Period designated by the Company, by Bloomberg Information Services (or any successor or substitute service providing rate quotations comparable to those currently provided by such service, as determined by CoBank from time to time, for the purpose of providing quotations of interest rates applicable to dollar deposits in the London interbank market); (b) “</w:t>
      </w:r>
      <w:r>
        <w:rPr>
          <w:rFonts w:ascii="Arial" w:cs="Arial" w:eastAsia="Arial" w:hAnsi="Arial"/>
          <w:sz w:val="16"/>
          <w:szCs w:val="16"/>
          <w:u w:val="single" w:color="auto"/>
          <w:color w:val="auto"/>
        </w:rPr>
        <w:t>Banking Day</w:t>
      </w:r>
      <w:r>
        <w:rPr>
          <w:rFonts w:ascii="Arial" w:cs="Arial" w:eastAsia="Arial" w:hAnsi="Arial"/>
          <w:sz w:val="16"/>
          <w:szCs w:val="16"/>
          <w:color w:val="auto"/>
        </w:rPr>
        <w:t>” means a day on which CoBank is open for business, dealings in U.S. dollar deposits are being carried out in the London interbank market, and banks are open for business in New York City and London, England;</w:t>
      </w:r>
    </w:p>
    <w:p>
      <w:pPr>
        <w:spacing w:after="0" w:line="6" w:lineRule="exact"/>
        <w:rPr>
          <w:rFonts w:ascii="Arial" w:cs="Arial" w:eastAsia="Arial" w:hAnsi="Arial"/>
          <w:sz w:val="16"/>
          <w:szCs w:val="16"/>
          <w:b w:val="1"/>
          <w:bCs w:val="1"/>
          <w:color w:val="auto"/>
        </w:rPr>
      </w:pPr>
    </w:p>
    <w:p>
      <w:pPr>
        <w:jc w:val="both"/>
        <w:ind w:left="-8" w:firstLine="8"/>
        <w:spacing w:after="0" w:line="290" w:lineRule="auto"/>
        <w:tabs>
          <w:tab w:leader="none" w:pos="2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 period commencing on the date this option is to take effect and ending on the numerically corresponding day in the month that is 1, 2, 3, 6, 12 months thereafter, as the case may be; provided, however, that: (i) in the event such ending day is not a Banking Day, such period will be extended to the next Banking Day unless such next Banking Day falls in the next calendar month, in which case it will end on the preceding Banking Day; and (ii) if there is no numerically corresponding day in the month, then such period will end on the last Banking Day in the relevant month; (d) “</w:t>
      </w:r>
      <w:r>
        <w:rPr>
          <w:rFonts w:ascii="Arial" w:cs="Arial" w:eastAsia="Arial" w:hAnsi="Arial"/>
          <w:sz w:val="16"/>
          <w:szCs w:val="16"/>
          <w:u w:val="single" w:color="auto"/>
          <w:color w:val="auto"/>
        </w:rPr>
        <w:t>Eurocurrency Liabilities</w:t>
      </w:r>
      <w:r>
        <w:rPr>
          <w:rFonts w:ascii="Arial" w:cs="Arial" w:eastAsia="Arial" w:hAnsi="Arial"/>
          <w:sz w:val="16"/>
          <w:szCs w:val="16"/>
          <w:color w:val="auto"/>
        </w:rPr>
        <w:t>” will have meaning as set forth in FRB Regulation D; and (e) “</w:t>
      </w:r>
      <w:r>
        <w:rPr>
          <w:rFonts w:ascii="Arial" w:cs="Arial" w:eastAsia="Arial" w:hAnsi="Arial"/>
          <w:sz w:val="16"/>
          <w:szCs w:val="16"/>
          <w:u w:val="single" w:color="auto"/>
          <w:color w:val="auto"/>
        </w:rPr>
        <w:t>FRB Regulation D</w:t>
      </w:r>
      <w:r>
        <w:rPr>
          <w:rFonts w:ascii="Arial" w:cs="Arial" w:eastAsia="Arial" w:hAnsi="Arial"/>
          <w:sz w:val="16"/>
          <w:szCs w:val="16"/>
          <w:color w:val="auto"/>
        </w:rPr>
        <w:t>” means Regulation D as promulgated by the Board of Governors of the Federal Reserve System, 12 CFR Part 204, as amended.</w:t>
      </w:r>
    </w:p>
    <w:p>
      <w:pPr>
        <w:spacing w:after="0" w:line="150" w:lineRule="exact"/>
        <w:rPr>
          <w:rFonts w:ascii="Arial" w:cs="Arial" w:eastAsia="Arial" w:hAnsi="Arial"/>
          <w:sz w:val="16"/>
          <w:szCs w:val="16"/>
          <w:color w:val="auto"/>
        </w:rPr>
      </w:pPr>
    </w:p>
    <w:p>
      <w:pPr>
        <w:ind w:left="412" w:hanging="304"/>
        <w:spacing w:after="0"/>
        <w:tabs>
          <w:tab w:leader="none" w:pos="412"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Section 5(D) of the Supplement is hereby amended and restated to read as follows:</w:t>
      </w:r>
    </w:p>
    <w:p>
      <w:pPr>
        <w:spacing w:after="0" w:line="167" w:lineRule="exact"/>
        <w:rPr>
          <w:sz w:val="20"/>
          <w:szCs w:val="20"/>
          <w:color w:val="auto"/>
        </w:rPr>
      </w:pPr>
    </w:p>
    <w:p>
      <w:pPr>
        <w:jc w:val="both"/>
        <w:ind w:left="-8" w:firstLine="332"/>
        <w:spacing w:after="0" w:line="268" w:lineRule="auto"/>
        <w:tabs>
          <w:tab w:leader="none" w:pos="62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Provisions Regarding the LIBOR Option</w:t>
      </w:r>
      <w:r>
        <w:rPr>
          <w:rFonts w:ascii="Arial" w:cs="Arial" w:eastAsia="Arial" w:hAnsi="Arial"/>
          <w:sz w:val="17"/>
          <w:szCs w:val="17"/>
          <w:color w:val="auto"/>
        </w:rPr>
        <w:t>. If at any time the generally recognized administrator of interest rates offered for</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dollars on the London interbank market (a “</w:t>
      </w:r>
      <w:r>
        <w:rPr>
          <w:rFonts w:ascii="Arial" w:cs="Arial" w:eastAsia="Arial" w:hAnsi="Arial"/>
          <w:sz w:val="17"/>
          <w:szCs w:val="17"/>
          <w:u w:val="single" w:color="auto"/>
          <w:color w:val="auto"/>
        </w:rPr>
        <w:t>LIBOR Rate</w:t>
      </w:r>
      <w:r>
        <w:rPr>
          <w:rFonts w:ascii="Arial" w:cs="Arial" w:eastAsia="Arial" w:hAnsi="Arial"/>
          <w:sz w:val="17"/>
          <w:szCs w:val="17"/>
          <w:color w:val="auto"/>
        </w:rPr>
        <w:t>”) ceases to provide quotations for LIBOR Rates, or if such administrator or any person having authority over such administrator or with respect to LIBOR Rates generally announces that LIBOR Rates will cease to be provided within a period not exceeding 90 days, or if CoBank otherwise determines that LIBOR Rates have been, or are likely within a period not exceeding 90 days to be, discontinued, or that LIBOR Rates do not, or are likely within a period not exceeding 90 days not to, adequately and fairly reflect the cost to the CoBank of making or maintaining loans hereunder, then the CoBank may, after consultation with but without the consent of the Company, amend this Promissory Note and Supplement and any other Loan Document to (1) replace any interest rate in this Promissory Note based and Supplement upon the LIBOR Rate with a replacement benchmark rate deemed appropriate by the CoBank in good faith and in its sole discretion, (2) adjust the margins applicable to the determination of interest rates under this Promissory Note and Supplement (whether up or down) as deemed appropriate by CoBank in good faith and in its sole discretion to compensate for differences between the LIBOR Rate and such replacement benchmark rate, and (3) after consultation with but without the consent of the Company, effect such other technical, administrative and operational changes to the Loan Documents as CoBank in good faith and in its sole discretion deems appropriate to reflect the adoption and implementation of such replacement rate. CoBank shall give the Company not less than five days’ notice of any such amendment prior to the effective date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128270</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92"/>
          </w:cols>
          <w:pgMar w:left="868" w:top="283" w:right="339" w:bottom="1440" w:gutter="0" w:footer="0" w:header="0"/>
        </w:sectPr>
      </w:pPr>
    </w:p>
    <w:bookmarkStart w:id="34" w:name="page35"/>
    <w:bookmarkEnd w:id="34"/>
    <w:p>
      <w:pPr>
        <w:ind w:left="540" w:firstLine="324"/>
        <w:spacing w:after="0" w:line="277" w:lineRule="auto"/>
        <w:rPr>
          <w:sz w:val="20"/>
          <w:szCs w:val="20"/>
          <w:color w:val="auto"/>
        </w:rPr>
      </w:pPr>
      <w:r>
        <w:rPr>
          <w:rFonts w:ascii="Arial" w:cs="Arial" w:eastAsia="Arial" w:hAnsi="Arial"/>
          <w:sz w:val="18"/>
          <w:szCs w:val="18"/>
          <w:color w:val="auto"/>
        </w:rPr>
        <w:t>Notwithstanding the foregoing paragraph, if prior to the commencement of any interest period proposed to be subject to a LIBOR Rate, CoBank determines (which determination shall be conclusive and binding absent manifest error) that</w:t>
      </w:r>
    </w:p>
    <w:p>
      <w:pPr>
        <w:spacing w:after="0" w:line="116" w:lineRule="exact"/>
        <w:rPr>
          <w:sz w:val="20"/>
          <w:szCs w:val="20"/>
          <w:color w:val="auto"/>
        </w:rPr>
      </w:pPr>
    </w:p>
    <w:p>
      <w:pPr>
        <w:ind w:left="540" w:firstLine="332"/>
        <w:spacing w:after="0" w:line="277" w:lineRule="auto"/>
        <w:tabs>
          <w:tab w:leader="none" w:pos="11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 dollar deposits are not being offered to banks in the London interbank market or that adequate and reasonable means do not exist for ascertaining a LIBOR Rate for such interest period; or</w:t>
      </w:r>
    </w:p>
    <w:p>
      <w:pPr>
        <w:spacing w:after="0" w:line="116" w:lineRule="exact"/>
        <w:rPr>
          <w:rFonts w:ascii="Arial" w:cs="Arial" w:eastAsia="Arial" w:hAnsi="Arial"/>
          <w:sz w:val="18"/>
          <w:szCs w:val="18"/>
          <w:color w:val="auto"/>
        </w:rPr>
      </w:pPr>
    </w:p>
    <w:p>
      <w:pPr>
        <w:ind w:left="540" w:right="20" w:firstLine="332"/>
        <w:spacing w:after="0" w:line="277" w:lineRule="auto"/>
        <w:tabs>
          <w:tab w:leader="none" w:pos="11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LIBOR Rate for such interest period will not adequately and fairly reflect the cost to CoBank of making or maintaining the loans for such interest period;</w:t>
      </w:r>
    </w:p>
    <w:p>
      <w:pPr>
        <w:spacing w:after="0" w:line="157"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auto"/>
        </w:rPr>
        <w:t>then CoBank shall give notice thereof to the Company as promptly as practicable thereafter and, until CoBank notifies the Company that the circumstances giving rise to such notice no longer exist, (a) any request to convert any loan to, or continue any LIBOR Rate loan at, a LIBOR Rate shall be ineffective, and (b) the CoBank shall, after consultation but without the consent of the Company, select an alternate rate of interest to apply to any and all balances upon the expiration of the interest period applicable thereto, which rate of interest shall be commercially reasonable and generally consistent with the then-prevailing market convention, if any, for replacement of a LIBOR Rate in bilateral loan transactions.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3. Representations and Warranties</w:t>
      </w:r>
      <w:r>
        <w:rPr>
          <w:rFonts w:ascii="Arial" w:cs="Arial" w:eastAsia="Arial" w:hAnsi="Arial"/>
          <w:sz w:val="16"/>
          <w:szCs w:val="16"/>
          <w:color w:val="auto"/>
        </w:rPr>
        <w:t>.To induce CoBank to enter into this Amendment, the Company represents and warrants that: (A)</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such as have been obtained, are in full force and effect, and are not subject to appeal, no consent, permission, authorization, order or license of any governmental authority or of any party to any agreement to which the Company is a party or by which it or any of its property may be bound or affected, is necessary in connection with the execution, delivery, performance or enforcement of this Amendment; (B) the Company is in compliance with all of the terms of the Loan Documents, and no Default or Event of Default exists; and (C) this Amendment has been duly authorized, executed and delivered by the Company, and creates legal, valid, and binding obligations of the Company which are enforceable in accordance with their terms, except to the extent that enforceability may be limited by applicable bankruptcy, insolvency or similar laws affecting the rights of creditors generally. Without limiting (B) above, the Company represents and warrants that it is in compliance with all notice provisions of the Loan Documents, including, without limitation, the requirement to notify CoBank of the commencement of material litigation and of certain environmental matters.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Confirmation</w:t>
      </w:r>
      <w:r>
        <w:rPr>
          <w:rFonts w:ascii="Arial" w:cs="Arial" w:eastAsia="Arial" w:hAnsi="Arial"/>
          <w:sz w:val="18"/>
          <w:szCs w:val="18"/>
          <w:color w:val="auto"/>
        </w:rPr>
        <w:t>. Except as amended by this Amendment, the Supplement shall remain in full force and effect as written.</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Counterparts and Electronic Delivery</w:t>
      </w:r>
      <w:r>
        <w:rPr>
          <w:rFonts w:ascii="Arial" w:cs="Arial" w:eastAsia="Arial" w:hAnsi="Arial"/>
          <w:sz w:val="18"/>
          <w:szCs w:val="18"/>
          <w:color w:val="auto"/>
        </w:rPr>
        <w:t>. This Amendment may be executed in counterparts (and by different parties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and all of which when taken together shall constitute a single agreement. In addition, this Amendment may be delivered by electronic means.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by their duly authorized officers as of the date shown above.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CoBANK, ACB</w:t>
            </w:r>
          </w:p>
        </w:tc>
        <w:tc>
          <w:tcPr>
            <w:tcW w:w="616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TIDEWATER UTILITIES,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Ervin</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 Bruce O’Connor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w:t>
            </w:r>
          </w:p>
        </w:tc>
      </w:tr>
      <w:tr>
        <w:trPr>
          <w:trHeight w:val="196"/>
        </w:trPr>
        <w:tc>
          <w:tcPr>
            <w:tcW w:w="580" w:type="dxa"/>
            <w:vAlign w:val="bottom"/>
            <w:tcBorders>
              <w:bottom w:val="single" w:sz="8" w:color="EEEEEE"/>
            </w:tcBorders>
          </w:tcPr>
          <w:p>
            <w:pPr>
              <w:spacing w:after="0"/>
              <w:rPr>
                <w:sz w:val="17"/>
                <w:szCs w:val="17"/>
                <w:color w:val="auto"/>
              </w:rPr>
            </w:pPr>
          </w:p>
        </w:tc>
        <w:tc>
          <w:tcPr>
            <w:tcW w:w="450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44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-1905</wp:posOffset>
            </wp:positionV>
            <wp:extent cx="1080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151765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7" w:name="page38"/>
    <w:bookmarkEnd w:id="37"/>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-1905</wp:posOffset>
            </wp:positionV>
            <wp:extent cx="1268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-1905</wp:posOffset>
            </wp:positionV>
            <wp:extent cx="10801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-1905</wp:posOffset>
            </wp:positionV>
            <wp:extent cx="126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04"/>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decimal"/>
      <w:start w:val="1"/>
    </w:lvl>
    <w:lvl w:ilvl="1">
      <w:lvlJc w:val="left"/>
      <w:lvlText w:val="(%2)"/>
      <w:numFmt w:val="lowerRoman"/>
      <w:start w:val="1"/>
    </w:lvl>
  </w:abstractNum>
  <w:abstractNum w:abstractNumId="11">
    <w:nsid w:val="4E6AFB66"/>
    <w:multiLevelType w:val="hybridMultilevel"/>
    <w:lvl w:ilvl="0">
      <w:lvlJc w:val="left"/>
      <w:lvlText w:val="%1."/>
      <w:numFmt w:val="decimal"/>
      <w:start w:val="3"/>
    </w:lvl>
    <w:lvl w:ilvl="1">
      <w:lvlJc w:val="left"/>
      <w:lvlText w:val="%2"/>
      <w:numFmt w:val="lowerRoman"/>
      <w:start w:val="1"/>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upperLetter"/>
      <w:start w:val="1"/>
    </w:lvl>
  </w:abstractNum>
  <w:abstractNum w:abstractNumId="14">
    <w:nsid w:val="431BD7B7"/>
    <w:multiLevelType w:val="hybridMultilevel"/>
    <w:lvl w:ilvl="0">
      <w:lvlJc w:val="left"/>
      <w:lvlText w:val="(%1)"/>
      <w:numFmt w:val="upperLetter"/>
      <w:start w:val="2"/>
    </w:lvl>
    <w:lvl w:ilvl="1">
      <w:lvlJc w:val="left"/>
      <w:lvlText w:val="(%2)"/>
      <w:numFmt w:val="decimal"/>
      <w:start w:val="2"/>
    </w:lvl>
  </w:abstractNum>
  <w:abstractNum w:abstractNumId="15">
    <w:nsid w:val="3F2DBA31"/>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16">
    <w:nsid w:val="7C83E458"/>
    <w:multiLevelType w:val="hybridMultilevel"/>
    <w:lvl w:ilvl="0">
      <w:lvlJc w:val="left"/>
      <w:lvlText w:val="(%1)"/>
      <w:numFmt w:val="lowerLetter"/>
      <w:start w:val="3"/>
    </w:lvl>
    <w:lvl w:ilvl="1">
      <w:lvlJc w:val="left"/>
      <w:lvlText w:val="(%2)"/>
      <w:numFmt w:val="upperLetter"/>
      <w:start w:val="4"/>
    </w:lvl>
    <w:lvl w:ilvl="2">
      <w:lvlJc w:val="left"/>
      <w:lvlText w:val="%3"/>
      <w:numFmt w:val="decimal"/>
      <w:start w:val="1"/>
    </w:lvl>
  </w:abstractNum>
  <w:abstractNum w:abstractNumId="17">
    <w:nsid w:val="257130A3"/>
    <w:multiLevelType w:val="hybridMultilevel"/>
    <w:lvl w:ilvl="0">
      <w:lvlJc w:val="left"/>
      <w:lvlText w:val="(%1)"/>
      <w:numFmt w:val="upperLetter"/>
      <w:start w:val="4"/>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2020-10-30T15:25:18Z</dcterms:created>
  <dcterms:modified xsi:type="dcterms:W3CDTF">2020-10-30T15:25:18Z</dcterms:modified>
</cp:coreProperties>
</file>