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June 30, 2020</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9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ind w:left="21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661"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tbl>
      <w:tblPr>
        <w:tblLayout w:type="fixed"/>
        <w:tblInd w:w="7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320" w:type="dxa"/>
            <w:vAlign w:val="bottom"/>
            <w:gridSpan w:val="5"/>
          </w:tcPr>
          <w:p>
            <w:pPr>
              <w:ind w:left="36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24"/>
        </w:trPr>
        <w:tc>
          <w:tcPr>
            <w:tcW w:w="24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0"/>
              </w:rPr>
              <w:t>Title of each class</w:t>
            </w:r>
          </w:p>
        </w:tc>
        <w:tc>
          <w:tcPr>
            <w:tcW w:w="4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720" w:type="dxa"/>
            <w:vAlign w:val="bottom"/>
          </w:tcPr>
          <w:p>
            <w:pPr>
              <w:spacing w:after="0"/>
              <w:rPr>
                <w:sz w:val="24"/>
                <w:szCs w:val="2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480" w:type="dxa"/>
            <w:vAlign w:val="bottom"/>
          </w:tcPr>
          <w:p>
            <w:pPr>
              <w:jc w:val="center"/>
              <w:ind w:left="370"/>
              <w:spacing w:after="0"/>
              <w:rPr>
                <w:sz w:val="20"/>
                <w:szCs w:val="20"/>
                <w:color w:val="auto"/>
              </w:rPr>
            </w:pPr>
            <w:r>
              <w:rPr>
                <w:rFonts w:ascii="Arial" w:cs="Arial" w:eastAsia="Arial" w:hAnsi="Arial"/>
                <w:sz w:val="18"/>
                <w:szCs w:val="18"/>
                <w:color w:val="auto"/>
                <w:w w:val="92"/>
              </w:rPr>
              <w:t>Common Stock</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72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29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July 31, 2020: Common Stock, No Par Value: 17,464,795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820" w:type="dxa"/>
            <w:vAlign w:val="bottom"/>
          </w:tcPr>
          <w:p>
            <w:pPr>
              <w:ind w:left="4320"/>
              <w:spacing w:after="0"/>
              <w:rPr>
                <w:sz w:val="20"/>
                <w:szCs w:val="20"/>
                <w:color w:val="auto"/>
              </w:rPr>
            </w:pPr>
            <w:r>
              <w:rPr>
                <w:rFonts w:ascii="Arial" w:cs="Arial" w:eastAsia="Arial" w:hAnsi="Arial"/>
                <w:sz w:val="18"/>
                <w:szCs w:val="18"/>
                <w:color w:val="auto"/>
              </w:rPr>
              <w:t>INDEX</w:t>
            </w:r>
          </w:p>
        </w:tc>
        <w:tc>
          <w:tcPr>
            <w:tcW w:w="400" w:type="dxa"/>
            <w:vAlign w:val="bottom"/>
          </w:tcPr>
          <w:p>
            <w:pPr>
              <w:spacing w:after="0"/>
              <w:rPr>
                <w:sz w:val="20"/>
                <w:szCs w:val="20"/>
                <w:color w:val="auto"/>
              </w:rPr>
            </w:pPr>
          </w:p>
        </w:tc>
      </w:tr>
      <w:tr>
        <w:trPr>
          <w:trHeight w:val="364"/>
        </w:trPr>
        <w:tc>
          <w:tcPr>
            <w:tcW w:w="10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439"/>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PART I.</w:t>
            </w:r>
          </w:p>
        </w:tc>
        <w:tc>
          <w:tcPr>
            <w:tcW w:w="9820" w:type="dxa"/>
            <w:vAlign w:val="bottom"/>
          </w:tcPr>
          <w:p>
            <w:pPr>
              <w:ind w:left="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00" w:type="dxa"/>
            <w:vAlign w:val="bottom"/>
          </w:tcPr>
          <w:p>
            <w:pPr>
              <w:spacing w:after="0"/>
              <w:rPr>
                <w:sz w:val="24"/>
                <w:szCs w:val="24"/>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820" w:type="dxa"/>
            <w:vAlign w:val="bottom"/>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1"/>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Capital Stock and Long-Term Debt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Common Stockholders’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1"/>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820" w:type="dxa"/>
            <w:vAlign w:val="bottom"/>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of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PART II.</w:t>
            </w:r>
          </w:p>
        </w:tc>
        <w:tc>
          <w:tcPr>
            <w:tcW w:w="9820" w:type="dxa"/>
            <w:vAlign w:val="bottom"/>
          </w:tcPr>
          <w:p>
            <w:pPr>
              <w:ind w:left="16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OTHER INFORMATION</w:t>
              </w:r>
            </w:hyperlink>
          </w:p>
        </w:tc>
        <w:tc>
          <w:tcPr>
            <w:tcW w:w="400" w:type="dxa"/>
            <w:vAlign w:val="bottom"/>
          </w:tcPr>
          <w:p>
            <w:pPr>
              <w:spacing w:after="0"/>
              <w:rPr>
                <w:sz w:val="24"/>
                <w:szCs w:val="24"/>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color w:val="auto"/>
              </w:rPr>
              <w:t>Item 5.</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6.</w:t>
            </w:r>
          </w:p>
        </w:tc>
        <w:tc>
          <w:tcPr>
            <w:tcW w:w="9820" w:type="dxa"/>
            <w:vAlign w:val="bottom"/>
          </w:tcPr>
          <w:p>
            <w:pPr>
              <w:ind w:left="1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10840" w:type="dxa"/>
            <w:vAlign w:val="bottom"/>
            <w:gridSpan w:val="2"/>
          </w:tcPr>
          <w:p>
            <w:pPr>
              <w:ind w:left="18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020" w:type="dxa"/>
            <w:vAlign w:val="bottom"/>
            <w:tcBorders>
              <w:bottom w:val="single" w:sz="8" w:color="EEEEEE"/>
            </w:tcBorders>
          </w:tcPr>
          <w:p>
            <w:pPr>
              <w:spacing w:after="0"/>
              <w:rPr>
                <w:sz w:val="21"/>
                <w:szCs w:val="21"/>
                <w:color w:val="auto"/>
              </w:rPr>
            </w:pPr>
          </w:p>
        </w:tc>
        <w:tc>
          <w:tcPr>
            <w:tcW w:w="9820" w:type="dxa"/>
            <w:vAlign w:val="bottom"/>
            <w:tcBorders>
              <w:bottom w:val="single" w:sz="8" w:color="EEEEEE"/>
            </w:tcBorders>
          </w:tcPr>
          <w:p>
            <w:pPr>
              <w:spacing w:after="0"/>
              <w:rPr>
                <w:sz w:val="21"/>
                <w:szCs w:val="21"/>
                <w:color w:val="auto"/>
              </w:rPr>
            </w:pPr>
          </w:p>
        </w:tc>
        <w:tc>
          <w:tcPr>
            <w:tcW w:w="400" w:type="dxa"/>
            <w:vAlign w:val="bottom"/>
            <w:tcBorders>
              <w:bottom w:val="single" w:sz="8" w:color="EEEEEE"/>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388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493"/>
        </w:trPr>
        <w:tc>
          <w:tcPr>
            <w:tcW w:w="388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18"/>
                <w:szCs w:val="18"/>
                <w:b w:val="1"/>
                <w:bCs w:val="1"/>
                <w:color w:val="auto"/>
              </w:rPr>
              <w:t>MIDDLESEX WATER COMPANY</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420" w:type="dxa"/>
            <w:vAlign w:val="bottom"/>
            <w:gridSpan w:val="5"/>
          </w:tcPr>
          <w:p>
            <w:pPr>
              <w:jc w:val="center"/>
              <w:ind w:left="2731"/>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9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3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3"/>
        </w:trPr>
        <w:tc>
          <w:tcPr>
            <w:tcW w:w="3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Three Months Ended June 30,</w:t>
            </w:r>
          </w:p>
        </w:tc>
        <w:tc>
          <w:tcPr>
            <w:tcW w:w="280" w:type="dxa"/>
            <w:vAlign w:val="bottom"/>
          </w:tcPr>
          <w:p>
            <w:pPr>
              <w:spacing w:after="0"/>
              <w:rPr>
                <w:sz w:val="24"/>
                <w:szCs w:val="24"/>
                <w:color w:val="auto"/>
              </w:rPr>
            </w:pPr>
          </w:p>
        </w:tc>
        <w:tc>
          <w:tcPr>
            <w:tcW w:w="25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41"/>
        </w:trPr>
        <w:tc>
          <w:tcPr>
            <w:tcW w:w="3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16"/>
        </w:trPr>
        <w:tc>
          <w:tcPr>
            <w:tcW w:w="3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35,277</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33,393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67,046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64,090</w:t>
            </w:r>
          </w:p>
        </w:tc>
      </w:tr>
      <w:tr>
        <w:trPr>
          <w:trHeight w:val="209"/>
        </w:trPr>
        <w:tc>
          <w:tcPr>
            <w:tcW w:w="3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1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17,620</w:t>
            </w:r>
          </w:p>
        </w:tc>
        <w:tc>
          <w:tcPr>
            <w:tcW w:w="4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16,781</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34,812</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32,901</w:t>
            </w: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4,629</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9,077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r>
      <w:tr>
        <w:trPr>
          <w:trHeight w:val="216"/>
        </w:trPr>
        <w:tc>
          <w:tcPr>
            <w:tcW w:w="3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Taxes</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3,643</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3,539</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7,245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r>
      <w:tr>
        <w:trPr>
          <w:trHeight w:val="209"/>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25,892</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24,443</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51,134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48,113</w:t>
            </w:r>
          </w:p>
        </w:tc>
      </w:tr>
      <w:tr>
        <w:trPr>
          <w:trHeight w:val="210"/>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9,385</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8,950</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15,912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15,977</w:t>
            </w:r>
          </w:p>
        </w:tc>
      </w:tr>
      <w:tr>
        <w:trPr>
          <w:trHeight w:val="216"/>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Allowance for Funds Used During Construction</w:t>
            </w: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795</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1,917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3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720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9"/>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1,129</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2,637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r>
      <w:tr>
        <w:trPr>
          <w:trHeight w:val="210"/>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1,946</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1,788</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3,615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r>
      <w:tr>
        <w:trPr>
          <w:trHeight w:val="209"/>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1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8,568</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7,725</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14,934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w:t>
            </w:r>
          </w:p>
        </w:tc>
      </w:tr>
      <w:tr>
        <w:trPr>
          <w:trHeight w:val="216"/>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9"/>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9,713</w:t>
            </w:r>
          </w:p>
        </w:tc>
        <w:tc>
          <w:tcPr>
            <w:tcW w:w="4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8,146</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17,381</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14,696</w:t>
            </w:r>
          </w:p>
        </w:tc>
      </w:tr>
      <w:tr>
        <w:trPr>
          <w:trHeight w:val="216"/>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1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9,683</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8,110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17,321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14,624</w:t>
            </w:r>
          </w:p>
        </w:tc>
      </w:tr>
      <w:tr>
        <w:trPr>
          <w:trHeight w:val="216"/>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0.55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0.49</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0.99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16"/>
        </w:trPr>
        <w:tc>
          <w:tcPr>
            <w:tcW w:w="3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4"/>
              </w:rPr>
              <w:t>Average Number of Common Shares Outstanding :</w:t>
            </w: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17,462</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16,519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17,449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r>
      <w:tr>
        <w:trPr>
          <w:trHeight w:val="234"/>
        </w:trPr>
        <w:tc>
          <w:tcPr>
            <w:tcW w:w="3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17,577</w:t>
            </w:r>
          </w:p>
        </w:tc>
        <w:tc>
          <w:tcPr>
            <w:tcW w:w="4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16,675</w:t>
            </w:r>
          </w:p>
        </w:tc>
        <w:tc>
          <w:tcPr>
            <w:tcW w:w="28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17,564</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16,630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5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99"/>
        </w:trPr>
        <w:tc>
          <w:tcPr>
            <w:tcW w:w="2820" w:type="dxa"/>
            <w:vAlign w:val="bottom"/>
          </w:tcPr>
          <w:p>
            <w:pPr>
              <w:spacing w:after="0"/>
              <w:rPr>
                <w:sz w:val="24"/>
                <w:szCs w:val="24"/>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rPr>
              <w:t>MIDDLESEX WATER COMPANY</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(In thousands)</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3"/>
        </w:trPr>
        <w:tc>
          <w:tcPr>
            <w:tcW w:w="2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5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161,971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160,870</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617,276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556,517</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82,916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83,043</w:t>
            </w:r>
          </w:p>
        </w:tc>
      </w:tr>
      <w:tr>
        <w:trPr>
          <w:trHeight w:val="216"/>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61,566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75,520</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923,729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875,950</w:t>
            </w:r>
          </w:p>
        </w:tc>
      </w:tr>
      <w:tr>
        <w:trPr>
          <w:trHeight w:val="216"/>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177,568</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170,220</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746,161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705,730</w:t>
            </w:r>
          </w:p>
        </w:tc>
      </w:tr>
      <w:tr>
        <w:trPr>
          <w:trHeight w:val="223"/>
        </w:trPr>
        <w:tc>
          <w:tcPr>
            <w:tcW w:w="28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13,196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2,230</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12,619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11,908</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8,939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7,183</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5,274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5,445</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3,961</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2,367</w:t>
            </w:r>
          </w:p>
        </w:tc>
      </w:tr>
      <w:tr>
        <w:trPr>
          <w:trHeight w:val="209"/>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43,989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29,133</w:t>
            </w:r>
          </w:p>
        </w:tc>
      </w:tr>
      <w:tr>
        <w:trPr>
          <w:trHeight w:val="223"/>
        </w:trPr>
        <w:tc>
          <w:tcPr>
            <w:tcW w:w="2820" w:type="dxa"/>
            <w:vAlign w:val="bottom"/>
            <w:tcBorders>
              <w:bottom w:val="single" w:sz="8" w:color="auto"/>
            </w:tcBorders>
            <w:shd w:val="clear" w:color="auto" w:fill="CCEEFF"/>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AND OTHER ASSETS:</w:t>
            </w:r>
          </w:p>
        </w:tc>
        <w:tc>
          <w:tcPr>
            <w:tcW w:w="524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5,573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5,944</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2,670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2,054</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111,494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110,479</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28,936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44,269</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Non-utility Assets - Net</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10,639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10,370</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1,408</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1,899</w:t>
            </w:r>
          </w:p>
        </w:tc>
      </w:tr>
      <w:tr>
        <w:trPr>
          <w:trHeight w:val="210"/>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DEFERRED CHARGES AND OTHER ASSETS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160,720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175,015</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950,870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909,878</w:t>
            </w:r>
          </w:p>
        </w:tc>
      </w:tr>
      <w:tr>
        <w:trPr>
          <w:trHeight w:val="196"/>
        </w:trPr>
        <w:tc>
          <w:tcPr>
            <w:tcW w:w="28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8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5240" w:type="dxa"/>
            <w:vAlign w:val="bottom"/>
          </w:tcPr>
          <w:p>
            <w:pPr>
              <w:ind w:left="140"/>
              <w:spacing w:after="0"/>
              <w:rPr>
                <w:sz w:val="20"/>
                <w:szCs w:val="20"/>
                <w:color w:val="auto"/>
              </w:rPr>
            </w:pPr>
            <w:r>
              <w:rPr>
                <w:rFonts w:ascii="Arial" w:cs="Arial" w:eastAsia="Arial" w:hAnsi="Arial"/>
                <w:sz w:val="18"/>
                <w:szCs w:val="18"/>
                <w:color w:val="auto"/>
              </w:rPr>
              <w:t>Common Stock, No Par Value</w:t>
            </w: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216,365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215,125</w:t>
            </w:r>
          </w:p>
        </w:tc>
      </w:tr>
      <w:tr>
        <w:trPr>
          <w:trHeight w:val="223"/>
        </w:trPr>
        <w:tc>
          <w:tcPr>
            <w:tcW w:w="28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117,008</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108,667</w:t>
            </w:r>
          </w:p>
        </w:tc>
      </w:tr>
      <w:tr>
        <w:trPr>
          <w:trHeight w:val="223"/>
        </w:trPr>
        <w:tc>
          <w:tcPr>
            <w:tcW w:w="2820" w:type="dxa"/>
            <w:vAlign w:val="bottom"/>
            <w:tcBorders>
              <w:bottom w:val="single" w:sz="8" w:color="CCEEFF"/>
            </w:tcBorders>
          </w:tcPr>
          <w:p>
            <w:pPr>
              <w:spacing w:after="0"/>
              <w:rPr>
                <w:sz w:val="19"/>
                <w:szCs w:val="19"/>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COMMON EQUITY</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333,373</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323,792</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2,084</w:t>
            </w:r>
          </w:p>
        </w:tc>
      </w:tr>
      <w:tr>
        <w:trPr>
          <w:trHeight w:val="216"/>
        </w:trPr>
        <w:tc>
          <w:tcPr>
            <w:tcW w:w="2820" w:type="dxa"/>
            <w:vAlign w:val="bottom"/>
            <w:tcBorders>
              <w:bottom w:val="single" w:sz="8" w:color="CCEEFF"/>
            </w:tcBorders>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237,939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230,777</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573,396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556,653</w:t>
            </w:r>
          </w:p>
        </w:tc>
      </w:tr>
      <w:tr>
        <w:trPr>
          <w:trHeight w:val="223"/>
        </w:trPr>
        <w:tc>
          <w:tcPr>
            <w:tcW w:w="28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7,340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7,178</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4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37,500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20,000</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22,803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23,306</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10,106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7,635</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2,031</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1,329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1,211</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3,124</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3,620</w:t>
            </w:r>
          </w:p>
        </w:tc>
      </w:tr>
      <w:tr>
        <w:trPr>
          <w:trHeight w:val="210"/>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84,294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64,981</w:t>
            </w:r>
          </w:p>
        </w:tc>
      </w:tr>
      <w:tr>
        <w:trPr>
          <w:trHeight w:val="223"/>
        </w:trPr>
        <w:tc>
          <w:tcPr>
            <w:tcW w:w="8060" w:type="dxa"/>
            <w:vAlign w:val="bottom"/>
            <w:tcBorders>
              <w:bottom w:val="single" w:sz="8" w:color="auto"/>
            </w:tcBorders>
            <w:gridSpan w:val="2"/>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3"/>
        </w:trPr>
        <w:tc>
          <w:tcPr>
            <w:tcW w:w="2820" w:type="dxa"/>
            <w:vAlign w:val="bottom"/>
            <w:tcBorders>
              <w:bottom w:val="single" w:sz="8" w:color="auto"/>
            </w:tcBorders>
            <w:shd w:val="clear" w:color="auto" w:fill="CCEEFF"/>
          </w:tcPr>
          <w:p>
            <w:pPr>
              <w:spacing w:after="0"/>
              <w:rPr>
                <w:sz w:val="15"/>
                <w:szCs w:val="15"/>
                <w:color w:val="auto"/>
              </w:rPr>
            </w:pPr>
          </w:p>
        </w:tc>
        <w:tc>
          <w:tcPr>
            <w:tcW w:w="52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DEFERRED CREDITS</w:t>
            </w:r>
          </w:p>
        </w:tc>
        <w:tc>
          <w:tcPr>
            <w:tcW w:w="5240" w:type="dxa"/>
            <w:vAlign w:val="bottom"/>
          </w:tcPr>
          <w:p>
            <w:pPr>
              <w:ind w:left="140"/>
              <w:spacing w:after="0"/>
              <w:rPr>
                <w:sz w:val="20"/>
                <w:szCs w:val="20"/>
                <w:color w:val="auto"/>
              </w:rPr>
            </w:pPr>
            <w:r>
              <w:rPr>
                <w:rFonts w:ascii="Arial" w:cs="Arial" w:eastAsia="Arial" w:hAnsi="Arial"/>
                <w:sz w:val="18"/>
                <w:szCs w:val="18"/>
                <w:color w:val="auto"/>
              </w:rPr>
              <w:t>Customer Advances for Construction</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24,342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23,905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OTHER LIABILITIES:</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Obligations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5,329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5,732</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Accumulated Deferred Income Taxes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57,350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54,408</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33,731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34,671</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64,998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69,152</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2,546</w:t>
            </w:r>
          </w:p>
        </w:tc>
      </w:tr>
      <w:tr>
        <w:trPr>
          <w:trHeight w:val="210"/>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DEFERRED CREDITS AND OTHER LIABILITIES</w:t>
            </w:r>
          </w:p>
        </w:tc>
        <w:tc>
          <w:tcPr>
            <w:tcW w:w="5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188,230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190,414</w:t>
            </w:r>
          </w:p>
        </w:tc>
      </w:tr>
      <w:tr>
        <w:trPr>
          <w:trHeight w:val="223"/>
        </w:trPr>
        <w:tc>
          <w:tcPr>
            <w:tcW w:w="8060" w:type="dxa"/>
            <w:vAlign w:val="bottom"/>
            <w:tcBorders>
              <w:bottom w:val="single" w:sz="8" w:color="auto"/>
            </w:tcBorders>
            <w:gridSpan w:val="2"/>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104,950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97,830</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CAPITALIZATION AND LIABILITIES</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950,870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909,878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41"/>
        </w:trPr>
        <w:tc>
          <w:tcPr>
            <w:tcW w:w="8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17,381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14,696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10,304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8,455</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(7,206</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(5,075)</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632</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(1,756)</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&amp; Supplies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(1,594)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2,471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840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1,840</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1,911</w:t>
            </w:r>
          </w:p>
        </w:tc>
      </w:tr>
      <w:tr>
        <w:trPr>
          <w:trHeight w:val="176"/>
        </w:trPr>
        <w:tc>
          <w:tcPr>
            <w:tcW w:w="83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20,819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11,620</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$735 in 2020, $383 in 2019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(45,417</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(35,698)</w:t>
            </w:r>
          </w:p>
        </w:tc>
      </w:tr>
      <w:tr>
        <w:trPr>
          <w:trHeight w:val="175"/>
        </w:trPr>
        <w:tc>
          <w:tcPr>
            <w:tcW w:w="83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(45,417</w:t>
            </w: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(35,698)</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(2,288</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(2,356)</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9,721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13,217</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17,500</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10,900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Common Stock Issuance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7,081</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(8,942)</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(7,906)</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3,762</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1,719</w:t>
            </w:r>
          </w:p>
        </w:tc>
      </w:tr>
      <w:tr>
        <w:trPr>
          <w:trHeight w:val="176"/>
        </w:trPr>
        <w:tc>
          <w:tcPr>
            <w:tcW w:w="83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20,231</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22,577</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(4,367)</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46,499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5,661</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42,132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4,160</w:t>
            </w:r>
          </w:p>
        </w:tc>
      </w:tr>
      <w:tr>
        <w:trPr>
          <w:trHeight w:val="169"/>
        </w:trPr>
        <w:tc>
          <w:tcPr>
            <w:tcW w:w="8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8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NON-CASH ACTIVITY: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3,796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3,825</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Long term Debt Deobligation</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175"/>
        </w:trPr>
        <w:tc>
          <w:tcPr>
            <w:tcW w:w="8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3,754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3,401</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735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r>
      <w:tr>
        <w:trPr>
          <w:trHeight w:val="216"/>
        </w:trPr>
        <w:tc>
          <w:tcPr>
            <w:tcW w:w="8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line="3"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6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Shares Authorized - 40,000</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- 2020 - 17,464; 2019 - 17,434</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216,365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215,125</w:t>
            </w:r>
          </w:p>
        </w:tc>
      </w:tr>
      <w:tr>
        <w:trPr>
          <w:trHeight w:val="176"/>
        </w:trPr>
        <w:tc>
          <w:tcPr>
            <w:tcW w:w="6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6"/>
        </w:trPr>
        <w:tc>
          <w:tcPr>
            <w:tcW w:w="6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117,008</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108,667</w:t>
            </w:r>
          </w:p>
        </w:tc>
      </w:tr>
      <w:tr>
        <w:trPr>
          <w:trHeight w:val="210"/>
        </w:trPr>
        <w:tc>
          <w:tcPr>
            <w:tcW w:w="6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333,373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323,792</w:t>
            </w:r>
          </w:p>
        </w:tc>
      </w:tr>
      <w:tr>
        <w:trPr>
          <w:trHeight w:val="169"/>
        </w:trPr>
        <w:tc>
          <w:tcPr>
            <w:tcW w:w="66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Shares Outstanding - 2020 - 20: 2019 - 20</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19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19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169"/>
        </w:trPr>
        <w:tc>
          <w:tcPr>
            <w:tcW w:w="66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Long-term Debt:</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8.05%, Amortizing Secured Note, due December 20, 2021</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643</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6.25%, Amortizing Secured Note, due May 19, 2028</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3,325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3,535</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6.44%, Amortizing Secured Note, due August 25, 2030</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2,847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2,987</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6.46%, Amortizing Secured Note, due September 19, 2031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3,127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3,267</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4.22%, State Revolving Trust Note, due December 31, 2022</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3.60%, State Revolving Trust Note, due May 1, 2025</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1,288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1,405</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State Revolving Trust Note, due March 1, 2026</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3.49%, State Revolving Trust Note, due January 25, 2027</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328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349</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4.03%, State Revolving Trust Note, due December 1, 2026</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4.00% to 5.00%, State Revolving Trust Bond, due August 1, 2021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 State Revolving Fund Bond, due August 1, 2021</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3.64%, State Revolving Trust Note, due July 1, 2028</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214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214</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3.64%, State Revolving Trust Note, due January 1, 2028</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3.45%, State Revolving Trust Note, due August 1, 2031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822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851</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6.59%, Amortizing Secured Note, due April 20, 2029</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3,255</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7.05%, Amortizing Secured Note, due January 20, 2030</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2,396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2,521</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5.69%, Amortizing Secured Note, due January 20, 2030</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4,915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5,171</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4.45%, Amortizing Secured Note, due April 20, 2040</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8,727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8,946</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4.47%, Amortizing Secured Note, due April 20, 2040</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3,320</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3.75%, State Revolving Trust Note, due July 1, 2031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1,829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1,829</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 State Revolving Trust Note, due February 1, 2036</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1,013</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2.00%, State Revolving Trust Note, due November 1, 2038</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1,579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1,309</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3.75%, State Revolving Trust Note, due November 30, 2030</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0.00% Construction Loans</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49,918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40,467</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Mortgage Bonds:</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BB, due August 1, 2021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241</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to 5.00%, Series CC, due August 1, 2021</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EE, due August 1, 2023</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1,407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1,456</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5.50%, Series FF, due August 1, 2024</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2,440</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GG, due August 1, 2026</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621</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632</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to 5.00%, Series HH, due August 1, 2026</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710</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II, due August 1, 2024</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416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429</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3.40% to 5.00%, Series JJ, due August 1, 2027</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KK, due August 1, 2028</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790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807</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to 5.50%, Series LL, due August 1, 2028</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928</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MM, due August 1, 2030</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1,003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1,037</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4.375%, Series NN, due August 1, 2030</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1,190</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0.00%, Series OO, due August 1, 2031</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1,756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1,806</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 to 5.00%, Series PP, due August 1, 2031</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5.00%, Series QQ, due October 1, 2023</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9,915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9,915</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3.80%, Series RR, due October 1, 2038</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22,500</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4.25%, Series SS, due October 1, 2047</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23,000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23,000</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TT, due August 1, 2032</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1,957</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3.00% to 3.25%, Series UU, due August 1, 2032</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755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755</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VV, due August 1, 2033</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2,004</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3.00% to 5.00%, Series WW, due August 1, 2033</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755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755</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XX, due August 1, 2047</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10,627</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3.00% to 5.00%, Series YY, due August 1, 2047</w:t>
            </w:r>
          </w:p>
        </w:tc>
        <w:tc>
          <w:tcPr>
            <w:tcW w:w="19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3,785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3,785</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2018A, 2017 RENEW due August 1, 2047</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6,599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6,678</w:t>
            </w:r>
          </w:p>
        </w:tc>
      </w:tr>
      <w:tr>
        <w:trPr>
          <w:trHeight w:val="234"/>
        </w:trPr>
        <w:tc>
          <w:tcPr>
            <w:tcW w:w="6660" w:type="dxa"/>
            <w:vAlign w:val="bottom"/>
          </w:tcPr>
          <w:p>
            <w:pPr>
              <w:ind w:left="360"/>
              <w:spacing w:after="0"/>
              <w:rPr>
                <w:sz w:val="20"/>
                <w:szCs w:val="20"/>
                <w:color w:val="auto"/>
              </w:rPr>
            </w:pPr>
            <w:r>
              <w:rPr>
                <w:rFonts w:ascii="Arial" w:cs="Arial" w:eastAsia="Arial" w:hAnsi="Arial"/>
                <w:sz w:val="18"/>
                <w:szCs w:val="18"/>
                <w:color w:val="auto"/>
              </w:rPr>
              <w:t>3.00%-5.00%, Series 2018B, 2017 RENEW due August 1, 2047</w:t>
            </w:r>
          </w:p>
        </w:tc>
        <w:tc>
          <w:tcPr>
            <w:tcW w:w="19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2,320</w:t>
            </w:r>
          </w:p>
        </w:tc>
        <w:tc>
          <w:tcPr>
            <w:tcW w:w="2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2,320</w:t>
            </w:r>
          </w:p>
        </w:tc>
      </w:tr>
    </w:tbl>
    <w:p>
      <w:pPr>
        <w:sectPr>
          <w:pgSz w:w="11900" w:h="16842"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3"/>
        </w:trPr>
        <w:tc>
          <w:tcPr>
            <w:tcW w:w="6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4.00%, Series 2019A, due August 1, 2059</w:t>
            </w:r>
          </w:p>
        </w:tc>
        <w:tc>
          <w:tcPr>
            <w:tcW w:w="2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32,500</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32,500</w:t>
            </w:r>
          </w:p>
        </w:tc>
      </w:tr>
      <w:tr>
        <w:trPr>
          <w:trHeight w:val="216"/>
        </w:trPr>
        <w:tc>
          <w:tcPr>
            <w:tcW w:w="6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5.00%, Series 2019B, due August 1, 2059</w:t>
            </w:r>
          </w:p>
        </w:tc>
        <w:tc>
          <w:tcPr>
            <w:tcW w:w="2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21,200</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21,200</w:t>
            </w:r>
          </w:p>
        </w:tc>
      </w:tr>
      <w:tr>
        <w:trPr>
          <w:trHeight w:val="210"/>
        </w:trPr>
        <w:tc>
          <w:tcPr>
            <w:tcW w:w="6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2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241,830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234,397</w:t>
            </w:r>
          </w:p>
        </w:tc>
      </w:tr>
      <w:tr>
        <w:trPr>
          <w:trHeight w:val="216"/>
        </w:trPr>
        <w:tc>
          <w:tcPr>
            <w:tcW w:w="622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3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7,866</w:t>
            </w:r>
          </w:p>
        </w:tc>
        <w:tc>
          <w:tcPr>
            <w:tcW w:w="2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8,064</w:t>
            </w: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2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(4,417)</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(4,506)</w:t>
            </w:r>
          </w:p>
        </w:tc>
      </w:tr>
      <w:tr>
        <w:trPr>
          <w:trHeight w:val="216"/>
        </w:trPr>
        <w:tc>
          <w:tcPr>
            <w:tcW w:w="62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(7,340)</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(7,178)</w:t>
            </w:r>
          </w:p>
        </w:tc>
      </w:tr>
      <w:tr>
        <w:trPr>
          <w:trHeight w:val="210"/>
        </w:trPr>
        <w:tc>
          <w:tcPr>
            <w:tcW w:w="6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237,939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230,777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0"/>
              </w:rPr>
              <w:t>Common</w:t>
            </w: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3"/>
              </w:rPr>
              <w:t>Stock</w:t>
            </w: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Retained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54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176"/>
        </w:trPr>
        <w:tc>
          <w:tcPr>
            <w:tcW w:w="54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2019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April 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16,451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160,142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94,000</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254,142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4,522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($0.2400 per share)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Dividends on Preferred Stock</w:t>
            </w:r>
          </w:p>
        </w:tc>
        <w:tc>
          <w:tcPr>
            <w:tcW w:w="1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165,138</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98,146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263,284</w:t>
            </w:r>
          </w:p>
        </w:tc>
      </w:tr>
      <w:tr>
        <w:trPr>
          <w:trHeight w:val="169"/>
        </w:trPr>
        <w:tc>
          <w:tcPr>
            <w:tcW w:w="5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2019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157,354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91,433</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248,787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14,696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7,081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($0.4800 per share)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6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2019</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165,138</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98,146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263,284</w:t>
            </w:r>
          </w:p>
        </w:tc>
      </w:tr>
      <w:tr>
        <w:trPr>
          <w:trHeight w:val="169"/>
        </w:trPr>
        <w:tc>
          <w:tcPr>
            <w:tcW w:w="54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Three Months Ended June 30, 2020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2020</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215,600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327,400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9,713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($0.2563 per share)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6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17,464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216,365</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117,008</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333,373</w:t>
            </w:r>
          </w:p>
        </w:tc>
      </w:tr>
      <w:tr>
        <w:trPr>
          <w:trHeight w:val="169"/>
        </w:trPr>
        <w:tc>
          <w:tcPr>
            <w:tcW w:w="54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2020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323,792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17,381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($0.5125 per share)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 Expenses</w:t>
            </w:r>
          </w:p>
        </w:tc>
        <w:tc>
          <w:tcPr>
            <w:tcW w:w="1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17,464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216,365</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117,008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333,373</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notes within the 2019 Annual Report on Form 10-K (the 2019 Form 10-K) are applicable to these financial statements and, in the opinion of the Company, the accompanying unaudited condensed consolidated financial statements contain all adjustments necessary (including normal recurring accruals) to present fairly the financial position as of June 30, 2020, the results of operations for the three month and six month periods ended June 30, 2020 and 2019 and cash flows for the six month periods ended June 30, 2020 and 2019. Information included in the Condensed Consolidated Balance Sheet as of December 31, 2019, has been derived from the Company’s audited financial statements for the year ended December 31, 2019 included in the 2019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Novel Coronavirus (COVID-19) </w:t>
      </w:r>
      <w:r>
        <w:rPr>
          <w:rFonts w:ascii="Arial" w:cs="Arial" w:eastAsia="Arial" w:hAnsi="Arial"/>
          <w:sz w:val="17"/>
          <w:szCs w:val="17"/>
          <w:color w:val="auto"/>
        </w:rPr>
        <w:t>- On March 13, 2020, the United States declared the COVID-19 pandemic a national emergency. The impact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changing economic conditions due to COVID-19 is uncertain and could affect the Company’s results of operations, financial condition and liquidity in the future. While the Company’s operations and capital construction program have not been significantly disrupted to date from COVID-19, we are unable to accurately assess the impact that COVID-19 will have on our business, our customers and our vendors prospectively, due to numerous uncertainties, including the severity of the pandemic, the duration of the outbreak and actions which could potentially be taken by governmental and/or regulatory authorities. The Company has drawn partially on its available lines of credit to provide additional liquidity in the event there is a negative impact to the Company’s business, results of operations, financial condition or liquidity resulting from COVID-19. As of July 31, 2020, there remains $106.5 million available under these lines of credit (see Note 6, </w:t>
      </w:r>
      <w:r>
        <w:rPr>
          <w:rFonts w:ascii="Arial" w:cs="Arial" w:eastAsia="Arial" w:hAnsi="Arial"/>
          <w:sz w:val="17"/>
          <w:szCs w:val="17"/>
          <w:i w:val="1"/>
          <w:iCs w:val="1"/>
          <w:color w:val="auto"/>
        </w:rPr>
        <w:t>Short-term Borrowings</w:t>
      </w:r>
      <w:r>
        <w:rPr>
          <w:rFonts w:ascii="Arial" w:cs="Arial" w:eastAsia="Arial" w:hAnsi="Arial"/>
          <w:sz w:val="17"/>
          <w:szCs w:val="17"/>
          <w:color w:val="auto"/>
        </w:rPr>
        <w:t xml:space="preserve"> for further information on lines of credit). In addition, the New Jersey Board of Public Utilities (NJBPU) and the Delaware Public Service Commission (DEPSC) have allowed for potential future recovery of COVID-19 related incremental costs in customer rates by regulated utilities in their respective jurisdictions. Neither jurisdiction has yet to establish a timetable or method for formally seeking cost recovery. We will continue to monitor and evaluate the COVID-19 situation and its impact to the Company’s business, results of operations, financial condition and liquidity.</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Contract Operations – </w:t>
      </w:r>
      <w:r>
        <w:rPr>
          <w:rFonts w:ascii="Arial" w:cs="Arial" w:eastAsia="Arial" w:hAnsi="Arial"/>
          <w:sz w:val="18"/>
          <w:szCs w:val="18"/>
          <w:color w:val="auto"/>
        </w:rPr>
        <w:t>In May 2020, USA, through a competitive bidding process, was awarded a ten-year, $8.3 million contract to operate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Borough of Highland Park, New Jersey’s water and wastewater systems. The contract commenced July 1,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Credit Losses on Financial Instruments - </w:t>
      </w:r>
      <w:r>
        <w:rPr>
          <w:rFonts w:ascii="Arial" w:cs="Arial" w:eastAsia="Arial" w:hAnsi="Arial"/>
          <w:sz w:val="18"/>
          <w:szCs w:val="18"/>
          <w:color w:val="auto"/>
        </w:rPr>
        <w:t>The Financial Accounting Standards Board issued guidance on the measurement of credit losses on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including trade receivables, which requires expected credit losses to be measured based on historical experience, current conditions and reasonable and supportable forecasts that affect the collectability of the reported amount of financial assets. The new guidance became effective January 1, 2020. For the Company, this applies primarily to accounts receivable and unbilled revenue balances. The adoption of this guidance did not have a material impact on the Company’s consolidated financial statements.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Expected credit losses on accounts receivable and unbilled revenues are based on historical write-offs combined with an evaluation of current conditions and reasonable and supportable forecasts. Customer accounts are written off when collection efforts have been exhausted.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March 2020, the NJBPU approved Middlesex’s petition to reset its Purchased Water Adjustment Clause (PWAC) tariff rate to recover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costs of $0.6 million for the purchase of treated water from a non-affiliated water utility regulated by the NJBPU. The new PWAC rate became effective on April 4, 2020. A PWAC is a rate mechanism that allows for recovery of increased purchased water costs between base rate case filings. It is reset to zero once those increased costs are included in base rates.</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July 1, 2020, Tidewater increased its DEPSC-approved Distribution System Improvement Charge (DSIC) rate, which is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revenue of approximately $0.5 million annually. A DSIC is a rate-mechanism that allows water utilities to recover investments in, and generate a return on, qualifying capital improvements made between base rate proceedings.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Twin Lakes - </w:t>
      </w:r>
      <w:r>
        <w:rPr>
          <w:rFonts w:ascii="Arial" w:cs="Arial" w:eastAsia="Arial" w:hAnsi="Arial"/>
          <w:sz w:val="16"/>
          <w:szCs w:val="16"/>
          <w:color w:val="auto"/>
        </w:rPr>
        <w:t>In March 2020, the Pennsylvania Public Utilities Commission (PAPUC) approved a $0.1 million increase in annualized base rates for Twin</w:t>
      </w:r>
      <w:r>
        <w:rPr>
          <w:rFonts w:ascii="Arial" w:cs="Arial" w:eastAsia="Arial" w:hAnsi="Arial"/>
          <w:sz w:val="16"/>
          <w:szCs w:val="16"/>
          <w:b w:val="1"/>
          <w:bCs w:val="1"/>
          <w:color w:val="auto"/>
        </w:rPr>
        <w:t xml:space="preserve"> </w:t>
      </w:r>
      <w:r>
        <w:rPr>
          <w:rFonts w:ascii="Arial" w:cs="Arial" w:eastAsia="Arial" w:hAnsi="Arial"/>
          <w:sz w:val="16"/>
          <w:szCs w:val="16"/>
          <w:color w:val="auto"/>
        </w:rPr>
        <w:t>Lakes. In July 2019, Twin Lakes had filed a petition with the PAPUC seeking permission to increase annualized base rates by approximately $0.2 million, necessitated by capital infrastructure investments and increased operations and maintenance costs. The new rates became effective April 19, 2020.</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COVID-19 - </w:t>
      </w:r>
      <w:r>
        <w:rPr>
          <w:rFonts w:ascii="Arial" w:cs="Arial" w:eastAsia="Arial" w:hAnsi="Arial"/>
          <w:sz w:val="17"/>
          <w:szCs w:val="17"/>
          <w:color w:val="auto"/>
        </w:rPr>
        <w:t>The NJBPU and the DEPSC have allowed for potential future recovery in customer rates of additional costs related to COVID-19 (for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discussion of the impact of COVID-19 on the Company, see </w:t>
      </w:r>
      <w:r>
        <w:rPr>
          <w:rFonts w:ascii="Arial" w:cs="Arial" w:eastAsia="Arial" w:hAnsi="Arial"/>
          <w:sz w:val="17"/>
          <w:szCs w:val="17"/>
          <w:i w:val="1"/>
          <w:iCs w:val="1"/>
          <w:color w:val="auto"/>
        </w:rPr>
        <w:t>Note 1- Basis of Presentation and Recent Developments, Recent Developments</w:t>
      </w:r>
      <w:r>
        <w:rPr>
          <w:rFonts w:ascii="Arial" w:cs="Arial" w:eastAsia="Arial" w:hAnsi="Arial"/>
          <w:sz w:val="17"/>
          <w:szCs w:val="17"/>
          <w:color w:val="auto"/>
        </w:rPr>
        <w:t>).</w:t>
      </w:r>
    </w:p>
    <w:p>
      <w:pPr>
        <w:sectPr>
          <w:pgSz w:w="11900" w:h="16838" w:orient="portrait"/>
          <w:cols w:equalWidth="0" w:num="1">
            <w:col w:w="11240"/>
          </w:cols>
          <w:pgMar w:left="320" w:top="121" w:right="339" w:bottom="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0" w:gutter="0" w:footer="0" w:header="0"/>
          <w:type w:val="continuous"/>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During the six months ended June 30, 2020 and 2019, there were 9,378 common shares (approximately $0.6 million) and 129,675</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($7.1 million), respectively, issued under the Middlesex Water Company Investment Plan (the Investment Plan). In January 2019, the Company had activated a limited share purchase discount feature of the Investment Plan. A 5% discount was available until August 2019, when the 0.2 million share purchase limit was reached and the discount feature terminated.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the New Jersey SRF program as follows:</w:t>
      </w:r>
    </w:p>
    <w:p>
      <w:pPr>
        <w:spacing w:after="0" w:line="116" w:lineRule="exact"/>
        <w:rPr>
          <w:sz w:val="20"/>
          <w:szCs w:val="20"/>
          <w:color w:val="auto"/>
        </w:rPr>
      </w:pPr>
    </w:p>
    <w:p>
      <w:pPr>
        <w:jc w:val="both"/>
        <w:ind w:left="700" w:hanging="368"/>
        <w:spacing w:after="0" w:line="27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April 2018, the NJBPU approved Middlesex’s request to participate in the NJIB loan program to fund the construction of a large-diameter transmission pipeline from the Carl J. Olsen water treatment plant in Edison, New Jersey and interconnect with our distribution system. Middlesex closed on a $43.5 million NJIB interest-free construction loan in August 2018. Through June 30, 2020, Middlesex has drawn a total of $41.3 million and expects to continue to draw down on this construction loan through the third quarter of 2020.</w:t>
      </w:r>
    </w:p>
    <w:p>
      <w:pPr>
        <w:spacing w:after="0" w:line="117"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November 2020 long-term debt financing program.</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amended regulations, the principal balance having a stated interest rate of zero percent (0%) is 25% of the loan balance with the remaining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does not include participating in the NJIB SRF program unless the terms are further amended to become more favorable to the Company.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2019, Middlesex priced and closed on a New Jersey Economic Development Authority (NJEDA) debt financing transaction of $53.7 million by issuing First Mortgage Bonds (FMB)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is held in escrow by a bond trustee and are drawn down by requisition for the qualifying projects. Through June 30, 2020, Middlesex has drawn a total of $32.3 million and currently expects to draw the remaining $28.5 million of proceeds, currently included in Restricted Cash, through the third quarter of 2021.</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Middlesex received approval from the NJBPU to borrow up to $100.0 million, in one or more private placement transactions to help fund Middlesex’s multi-year capital construction program. Although Middlesex intends to close on a private placement loan of up to $40 million before the end of 2020, ongoing volatility in the financial markets may influence the timing and amount of the transaction.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completed withdrawal of the proceeds in April 2020.</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following methods and assumptions were used by the Company in estimating its fair value disclosure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gridSpan w:val="2"/>
          </w:tcPr>
          <w:p>
            <w:pPr>
              <w:ind w:left="2240"/>
              <w:spacing w:after="0"/>
              <w:rPr>
                <w:sz w:val="20"/>
                <w:szCs w:val="20"/>
                <w:color w:val="auto"/>
              </w:rPr>
            </w:pPr>
            <w:r>
              <w:rPr>
                <w:rFonts w:ascii="Arial" w:cs="Arial" w:eastAsia="Arial" w:hAnsi="Arial"/>
                <w:sz w:val="18"/>
                <w:szCs w:val="18"/>
                <w:color w:val="auto"/>
              </w:rPr>
              <w:t>June 30, 2020</w:t>
            </w:r>
          </w:p>
        </w:tc>
        <w:tc>
          <w:tcPr>
            <w:tcW w:w="2680" w:type="dxa"/>
            <w:vAlign w:val="bottom"/>
            <w:gridSpan w:val="2"/>
          </w:tcPr>
          <w:p>
            <w:pPr>
              <w:ind w:left="640"/>
              <w:spacing w:after="0"/>
              <w:rPr>
                <w:sz w:val="20"/>
                <w:szCs w:val="20"/>
                <w:color w:val="auto"/>
              </w:rPr>
            </w:pPr>
            <w:r>
              <w:rPr>
                <w:rFonts w:ascii="Arial" w:cs="Arial" w:eastAsia="Arial" w:hAnsi="Arial"/>
                <w:sz w:val="18"/>
                <w:szCs w:val="18"/>
                <w:color w:val="auto"/>
              </w:rPr>
              <w:t>December 31, 2019</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c>
          <w:tcPr>
            <w:tcW w:w="11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c>
          <w:tcPr>
            <w:tcW w:w="112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$150,876</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$162,257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$151,361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$160,772</w:t>
            </w:r>
          </w:p>
        </w:tc>
        <w:tc>
          <w:tcPr>
            <w:tcW w:w="112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40" w:type="dxa"/>
            <w:vAlign w:val="bottom"/>
          </w:tcPr>
          <w:p>
            <w:pPr>
              <w:ind w:left="2240"/>
              <w:spacing w:after="0"/>
              <w:rPr>
                <w:sz w:val="20"/>
                <w:szCs w:val="20"/>
                <w:color w:val="auto"/>
              </w:rPr>
            </w:pPr>
            <w:r>
              <w:rPr>
                <w:rFonts w:ascii="Arial" w:cs="Arial" w:eastAsia="Arial" w:hAnsi="Arial"/>
                <w:sz w:val="18"/>
                <w:szCs w:val="18"/>
                <w:color w:val="auto"/>
              </w:rPr>
              <w:t>8</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Borders>
              <w:bottom w:val="single" w:sz="8" w:color="EEEEEE"/>
            </w:tcBorders>
          </w:tcPr>
          <w:p>
            <w:pPr>
              <w:spacing w:after="0"/>
              <w:rPr>
                <w:sz w:val="18"/>
                <w:szCs w:val="18"/>
                <w:color w:val="auto"/>
              </w:rPr>
            </w:pPr>
          </w:p>
        </w:tc>
        <w:tc>
          <w:tcPr>
            <w:tcW w:w="2180" w:type="dxa"/>
            <w:vAlign w:val="bottom"/>
            <w:tcBorders>
              <w:bottom w:val="single" w:sz="8" w:color="EEEEEE"/>
            </w:tcBorders>
          </w:tcPr>
          <w:p>
            <w:pPr>
              <w:spacing w:after="0"/>
              <w:rPr>
                <w:sz w:val="18"/>
                <w:szCs w:val="18"/>
                <w:color w:val="auto"/>
              </w:rPr>
            </w:pPr>
          </w:p>
        </w:tc>
        <w:tc>
          <w:tcPr>
            <w:tcW w:w="27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$91.0 million and $83.0 million at June 30, 2020 and December 31, 2019, respectively. Customer advances for construction have carrying amounts of $24.3 million and $23.9 million as of June 30, 2020 and December 31, 2019, respectively. Their relative fair values cannot be accurately estimated since future refund payments depend on several variables, including new customer connections, customer consumption levels and future rate increases.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 in 2020 and the Convertible Preferred Stock $7.00 Series and the Convertible Preferred Stock $8.00 Series in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980" w:type="dxa"/>
            <w:vAlign w:val="bottom"/>
            <w:gridSpan w:val="3"/>
          </w:tcPr>
          <w:p>
            <w:pPr>
              <w:jc w:val="right"/>
              <w:ind w:right="630"/>
              <w:spacing w:after="0"/>
              <w:rPr>
                <w:sz w:val="20"/>
                <w:szCs w:val="20"/>
                <w:color w:val="auto"/>
              </w:rPr>
            </w:pPr>
            <w:r>
              <w:rPr>
                <w:rFonts w:ascii="Arial" w:cs="Arial" w:eastAsia="Arial" w:hAnsi="Arial"/>
                <w:sz w:val="18"/>
                <w:szCs w:val="18"/>
                <w:color w:val="auto"/>
                <w:w w:val="92"/>
              </w:rPr>
              <w:t>Three Months Ended June 30,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2020</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Income</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9,713</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8,146</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(36)</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9,683</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8,110</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0.55</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0.49</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9,683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17,462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8,110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Preferred Dividend</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9,700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17,577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8,133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0.55</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0.49</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140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5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20" w:type="dxa"/>
            <w:vAlign w:val="bottom"/>
            <w:gridSpan w:val="3"/>
          </w:tcPr>
          <w:p>
            <w:pPr>
              <w:jc w:val="right"/>
              <w:ind w:right="710"/>
              <w:spacing w:after="0"/>
              <w:rPr>
                <w:sz w:val="20"/>
                <w:szCs w:val="20"/>
                <w:color w:val="auto"/>
              </w:rPr>
            </w:pPr>
            <w:r>
              <w:rPr>
                <w:rFonts w:ascii="Arial" w:cs="Arial" w:eastAsia="Arial" w:hAnsi="Arial"/>
                <w:sz w:val="18"/>
                <w:szCs w:val="18"/>
                <w:color w:val="auto"/>
                <w:w w:val="95"/>
              </w:rPr>
              <w:t>Six Months Ended 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Income</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17,381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14,696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(72)</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17,321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14,624</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0.89</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17,321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14,624</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34</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Preferred Dividend</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17,355</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14,670</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0.88</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5400" w:type="dxa"/>
            <w:vAlign w:val="bottom"/>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2"/>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4"/>
          </w:tcPr>
          <w:p>
            <w:pPr>
              <w:jc w:val="right"/>
              <w:ind w:right="73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r>
      <w:tr>
        <w:trPr>
          <w:trHeight w:val="230"/>
        </w:trPr>
        <w:tc>
          <w:tcPr>
            <w:tcW w:w="5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86"/>
              </w:rPr>
              <w:t>June 30,</w:t>
            </w:r>
          </w:p>
        </w:tc>
      </w:tr>
      <w:tr>
        <w:trPr>
          <w:trHeight w:val="20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32,289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30,444</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58,342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3,180</w:t>
            </w:r>
          </w:p>
        </w:tc>
        <w:tc>
          <w:tcPr>
            <w:tcW w:w="4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3,087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6,141</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6,012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Revenues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35,277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33,393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64,090</w:t>
            </w:r>
          </w:p>
        </w:tc>
      </w:tr>
      <w:tr>
        <w:trPr>
          <w:trHeight w:val="196"/>
        </w:trPr>
        <w:tc>
          <w:tcPr>
            <w:tcW w:w="5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8,639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7,903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13,936</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746</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1,047</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2,041</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9,385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8,950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15,977</w:t>
            </w:r>
          </w:p>
        </w:tc>
      </w:tr>
      <w:tr>
        <w:trPr>
          <w:trHeight w:val="196"/>
        </w:trPr>
        <w:tc>
          <w:tcPr>
            <w:tcW w:w="5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9,192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7,423</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13,290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521</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723</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Income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9,713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8,146</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14,696</w:t>
            </w:r>
          </w:p>
        </w:tc>
      </w:tr>
      <w:tr>
        <w:trPr>
          <w:trHeight w:val="196"/>
        </w:trPr>
        <w:tc>
          <w:tcPr>
            <w:tcW w:w="5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19,913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23,268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35,561</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357</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20,270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23,374</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35,698</w:t>
            </w:r>
          </w:p>
        </w:tc>
      </w:tr>
      <w:tr>
        <w:trPr>
          <w:trHeight w:val="384"/>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2"/>
          </w:tcPr>
          <w:p>
            <w:pPr>
              <w:jc w:val="right"/>
              <w:ind w:right="750"/>
              <w:spacing w:after="0"/>
              <w:rPr>
                <w:sz w:val="20"/>
                <w:szCs w:val="20"/>
                <w:color w:val="auto"/>
              </w:rPr>
            </w:pPr>
            <w:r>
              <w:rPr>
                <w:rFonts w:ascii="Arial" w:cs="Arial" w:eastAsia="Arial" w:hAnsi="Arial"/>
                <w:sz w:val="18"/>
                <w:szCs w:val="18"/>
                <w:color w:val="auto"/>
              </w:rPr>
              <w:t>As of</w:t>
            </w:r>
          </w:p>
        </w:tc>
        <w:tc>
          <w:tcPr>
            <w:tcW w:w="24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0"/>
              </w:rPr>
              <w:t>December 31,</w:t>
            </w:r>
          </w:p>
        </w:tc>
      </w:tr>
      <w:tr>
        <w:trPr>
          <w:trHeight w:val="230"/>
        </w:trPr>
        <w:tc>
          <w:tcPr>
            <w:tcW w:w="54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953,703</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910,081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10,150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9,686</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(12,983)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950,870</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909,878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$140.0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(Millions)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3"/>
          </w:tcPr>
          <w:p>
            <w:pPr>
              <w:jc w:val="right"/>
              <w:ind w:right="590"/>
              <w:spacing w:after="0"/>
              <w:rPr>
                <w:sz w:val="20"/>
                <w:szCs w:val="20"/>
                <w:color w:val="auto"/>
              </w:rPr>
            </w:pPr>
            <w:r>
              <w:rPr>
                <w:rFonts w:ascii="Arial" w:cs="Arial" w:eastAsia="Arial" w:hAnsi="Arial"/>
                <w:sz w:val="18"/>
                <w:szCs w:val="18"/>
                <w:color w:val="auto"/>
              </w:rPr>
              <w:t>As of June 30, 2020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Outstanding</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Available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Maximum</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Credit Type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Renewal Date</w:t>
            </w:r>
          </w:p>
        </w:tc>
      </w:tr>
      <w:tr>
        <w:trPr>
          <w:trHeight w:val="195"/>
        </w:trPr>
        <w:tc>
          <w:tcPr>
            <w:tcW w:w="4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6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September 18,</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w:t>
            </w:r>
          </w:p>
        </w:tc>
      </w:tr>
      <w:tr>
        <w:trPr>
          <w:trHeight w:val="202"/>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ind w:left="120"/>
              <w:spacing w:after="0" w:line="201" w:lineRule="exact"/>
              <w:rPr>
                <w:sz w:val="20"/>
                <w:szCs w:val="20"/>
                <w:color w:val="auto"/>
              </w:rPr>
            </w:pPr>
            <w:r>
              <w:rPr>
                <w:rFonts w:ascii="Arial" w:cs="Arial" w:eastAsia="Arial" w:hAnsi="Arial"/>
                <w:sz w:val="18"/>
                <w:szCs w:val="18"/>
                <w:color w:val="auto"/>
              </w:rPr>
              <w:t>January 31,</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PNC Bank</w:t>
            </w:r>
          </w:p>
        </w:tc>
        <w:tc>
          <w:tcPr>
            <w:tcW w:w="3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22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360" w:type="dxa"/>
            <w:vAlign w:val="bottom"/>
          </w:tcPr>
          <w:p>
            <w:pPr>
              <w:ind w:left="120"/>
              <w:spacing w:after="0"/>
              <w:rPr>
                <w:sz w:val="20"/>
                <w:szCs w:val="20"/>
                <w:color w:val="auto"/>
              </w:rPr>
            </w:pPr>
            <w:r>
              <w:rPr>
                <w:rFonts w:ascii="Arial" w:cs="Arial" w:eastAsia="Arial" w:hAnsi="Arial"/>
                <w:sz w:val="18"/>
                <w:szCs w:val="18"/>
                <w:color w:val="auto"/>
              </w:rPr>
              <w:t>2022</w:t>
            </w:r>
          </w:p>
        </w:tc>
      </w:tr>
      <w:tr>
        <w:trPr>
          <w:trHeight w:val="202"/>
        </w:trPr>
        <w:tc>
          <w:tcPr>
            <w:tcW w:w="4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November 30,</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CoBank</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w:t>
            </w:r>
          </w:p>
        </w:tc>
      </w:tr>
      <w:tr>
        <w:trPr>
          <w:trHeight w:val="210"/>
        </w:trPr>
        <w:tc>
          <w:tcPr>
            <w:tcW w:w="428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w:t>
            </w: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lines of credit is set using the London InterBank Offered Rate (LIBOR) and adding a credit spread, which varies by financial institution. There is no requirement for a compensating balance under any of the established lines of credit. The CoBank line of credit is expected to be renewed during the third quarter of 2020 for a term of twenty-four months. The Bank of America line of credit is renewed on an annual basis prior to its expiration.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June 30, 2020 under these credit lines is 1.21%.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credit lines and the weighted average interest rates on those amounts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gridSpan w:val="3"/>
          </w:tcPr>
          <w:p>
            <w:pPr>
              <w:jc w:val="right"/>
              <w:ind w:right="810"/>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8"/>
                <w:szCs w:val="18"/>
                <w:color w:val="auto"/>
              </w:rPr>
            </w:pPr>
          </w:p>
        </w:tc>
        <w:tc>
          <w:tcPr>
            <w:tcW w:w="2580" w:type="dxa"/>
            <w:vAlign w:val="bottom"/>
            <w:gridSpan w:val="3"/>
          </w:tcPr>
          <w:p>
            <w:pPr>
              <w:jc w:val="center"/>
              <w:ind w:right="270"/>
              <w:spacing w:after="0"/>
              <w:rPr>
                <w:sz w:val="20"/>
                <w:szCs w:val="20"/>
                <w:color w:val="auto"/>
              </w:rPr>
            </w:pPr>
            <w:r>
              <w:rPr>
                <w:rFonts w:ascii="Arial" w:cs="Arial" w:eastAsia="Arial" w:hAnsi="Arial"/>
                <w:sz w:val="18"/>
                <w:szCs w:val="18"/>
                <w:color w:val="auto"/>
                <w:w w:val="91"/>
              </w:rPr>
              <w:t>Six Months Ended</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left="610"/>
              <w:spacing w:after="0"/>
              <w:rPr>
                <w:sz w:val="20"/>
                <w:szCs w:val="20"/>
                <w:color w:val="auto"/>
              </w:rPr>
            </w:pPr>
            <w:r>
              <w:rPr>
                <w:rFonts w:ascii="Arial" w:cs="Arial" w:eastAsia="Arial" w:hAnsi="Arial"/>
                <w:sz w:val="18"/>
                <w:szCs w:val="18"/>
                <w:color w:val="auto"/>
                <w:w w:val="86"/>
              </w:rPr>
              <w:t>June 30,</w:t>
            </w:r>
          </w:p>
        </w:tc>
        <w:tc>
          <w:tcPr>
            <w:tcW w:w="1040" w:type="dxa"/>
            <w:vAlign w:val="bottom"/>
          </w:tcPr>
          <w:p>
            <w:pPr>
              <w:spacing w:after="0"/>
              <w:rPr>
                <w:sz w:val="18"/>
                <w:szCs w:val="18"/>
                <w:color w:val="auto"/>
              </w:rPr>
            </w:pPr>
          </w:p>
        </w:tc>
      </w:tr>
      <w:tr>
        <w:trPr>
          <w:trHeight w:val="237"/>
        </w:trPr>
        <w:tc>
          <w:tcPr>
            <w:tcW w:w="5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36,445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50,992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28,901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50,485</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r>
    </w:tbl>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$37.5 million outstanding as of June 30, 2020 are in July 2020 through August 2020 and are renewable at the discretion of the Company.</w:t>
      </w:r>
    </w:p>
    <w:p>
      <w:pPr>
        <w:sectPr>
          <w:pgSz w:w="11900" w:h="16838" w:orient="portrait"/>
          <w:cols w:equalWidth="0" w:num="1">
            <w:col w:w="11240"/>
          </w:cols>
          <w:pgMar w:left="320" w:top="122" w:right="339" w:bottom="49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493"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also has an agreement with a non-affiliated NJBPU-regulated water utility for the purchase of treated water. This agreement, which expires February 28, 2026, provides for the minimum purchase of 3.0 mgd of treated water with provisions for additional purchases if needed.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Purchased water costs are shown below:</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7"/>
        </w:trPr>
        <w:tc>
          <w:tcPr>
            <w:tcW w:w="5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080" w:type="dxa"/>
            <w:vAlign w:val="bottom"/>
          </w:tcPr>
          <w:p>
            <w:pPr>
              <w:spacing w:after="0"/>
              <w:rPr>
                <w:sz w:val="18"/>
                <w:szCs w:val="18"/>
                <w:color w:val="auto"/>
              </w:rPr>
            </w:pPr>
          </w:p>
        </w:tc>
        <w:tc>
          <w:tcPr>
            <w:tcW w:w="310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Six Months Ended</w:t>
            </w:r>
          </w:p>
        </w:tc>
        <w:tc>
          <w:tcPr>
            <w:tcW w:w="94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June 30,</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2"/>
          </w:tcPr>
          <w:p>
            <w:pPr>
              <w:jc w:val="right"/>
              <w:ind w:right="290"/>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18"/>
                <w:szCs w:val="18"/>
                <w:color w:val="auto"/>
              </w:rPr>
            </w:pPr>
          </w:p>
        </w:tc>
      </w:tr>
      <w:tr>
        <w:trPr>
          <w:trHeight w:val="230"/>
        </w:trPr>
        <w:tc>
          <w:tcPr>
            <w:tcW w:w="50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9"/>
              </w:rPr>
              <w:t>2019</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932</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827</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1,725</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1,597</w:t>
            </w: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Untreated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782</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782</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1,652</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1,643</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1,714</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1,609</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3,377</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3,240</w:t>
            </w:r>
          </w:p>
        </w:tc>
      </w:tr>
    </w:tbl>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Middlesex serves as guarantor of the performance of Applied</w:t>
      </w:r>
      <w:r>
        <w:rPr>
          <w:rFonts w:ascii="Arial" w:cs="Arial" w:eastAsia="Arial" w:hAnsi="Arial"/>
          <w:sz w:val="17"/>
          <w:szCs w:val="17"/>
          <w:b w:val="1"/>
          <w:bCs w:val="1"/>
          <w:color w:val="auto"/>
        </w:rPr>
        <w:t xml:space="preserve"> </w:t>
      </w:r>
      <w:r>
        <w:rPr>
          <w:rFonts w:ascii="Arial" w:cs="Arial" w:eastAsia="Arial" w:hAnsi="Arial"/>
          <w:sz w:val="17"/>
          <w:szCs w:val="17"/>
          <w:color w:val="auto"/>
        </w:rPr>
        <w:t>Water Management, Inc. (AWM), an unaffiliated wastewater treatment contractor, to operate a County-owned leachate pretreatment facility at the Monmouth County Reclamation Center in Tinton Falls, New Jersey. The performance guaranty is effective through 2029 unless another guarantor, acceptable to the County, replaces Middlesex before such date. In addition, Middlesex may provide operational support to the facility, as needed. AWM and its parent company, Natural Systems Utilities (NSU), serve as guarantor to Middlesex with respect to the performance of AWM and have indemnified Middlesex against any claims that may arise under the Middlesex guaranty to the County.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The liability and asset for the guaranty are included in Other Non-Current Liabilities and Other Non-Current Assets on the balance sheet and are approximately $1.3 million and $1.4 million as of June 30, 2020 and December 31, 2019, respectively.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Middlesex was notified that the County terminated its Agreement with AWM. AWM had initiated legal action against the County in the Superior Court of New Jersey, Monmouth County that in part contests the County’s exercise of this termination. The County filed a counter-claim against NSU and has brought Middlesex into the suit as a third-party defendant. We continue to monitor this litigation; however, given the cancellation of the underlying operating contract by the County, we do not anticipate the ultimate outcome will have a material impact on the Company’s results of operations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line="56"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Leases - </w:t>
      </w:r>
      <w:r>
        <w:rPr>
          <w:rFonts w:ascii="Arial" w:cs="Arial" w:eastAsia="Arial" w:hAnsi="Arial"/>
          <w:sz w:val="18"/>
          <w:szCs w:val="18"/>
          <w:color w:val="auto"/>
        </w:rPr>
        <w:t>The Company determines if a contractual arrangement meets the criteria to be characterized as a lease at inception. Generally, a 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exists if the Company determines that the arrangement gives the Company control over the use of an identified asset and obtains substantially all of the benefits from the identified asset.</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financing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and $0.1 million for the three months ended June 30, 2020 and 2019, respectively and $0.4 million and $0.3 million for the six months ended June 30, 2020 and 2019,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w w:val="92"/>
              </w:rPr>
              <w:t>Information related to operating lease ROU assets and lease liabilities is as follows:</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gridSpan w:val="3"/>
          </w:tcPr>
          <w:p>
            <w:pPr>
              <w:jc w:val="right"/>
              <w:ind w:right="15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As of</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As of</w:t>
            </w:r>
          </w:p>
        </w:tc>
      </w:tr>
      <w:tr>
        <w:trPr>
          <w:trHeight w:val="230"/>
        </w:trPr>
        <w:tc>
          <w:tcPr>
            <w:tcW w:w="1160" w:type="dxa"/>
            <w:vAlign w:val="bottom"/>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 2020</w:t>
            </w: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December 31, 2019</w:t>
            </w:r>
          </w:p>
        </w:tc>
      </w:tr>
      <w:tr>
        <w:trPr>
          <w:trHeight w:val="209"/>
        </w:trPr>
        <w:tc>
          <w:tcPr>
            <w:tcW w:w="116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12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Amortization</w:t>
            </w: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w:t>
            </w: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w:t>
            </w:r>
          </w:p>
        </w:tc>
      </w:tr>
      <w:tr>
        <w:trPr>
          <w:trHeight w:val="209"/>
        </w:trPr>
        <w:tc>
          <w:tcPr>
            <w:tcW w:w="116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122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700" w:type="dxa"/>
            <w:vAlign w:val="bottom"/>
            <w:tcBorders>
              <w:bottom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r>
      <w:tr>
        <w:trPr>
          <w:trHeight w:val="493"/>
        </w:trPr>
        <w:tc>
          <w:tcPr>
            <w:tcW w:w="6180" w:type="dxa"/>
            <w:vAlign w:val="bottom"/>
            <w:gridSpan w:val="3"/>
          </w:tcPr>
          <w:p>
            <w:pPr>
              <w:spacing w:after="0"/>
              <w:rPr>
                <w:sz w:val="20"/>
                <w:szCs w:val="20"/>
                <w:color w:val="auto"/>
              </w:rPr>
            </w:pPr>
            <w:r>
              <w:rPr>
                <w:rFonts w:ascii="Arial" w:cs="Arial" w:eastAsia="Arial" w:hAnsi="Arial"/>
                <w:sz w:val="18"/>
                <w:szCs w:val="18"/>
                <w:color w:val="auto"/>
              </w:rPr>
              <w:t>The Company’s future minimum operating lease commitments are as follows: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7"/>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9"/>
              </w:rPr>
              <w:t>(In Millions)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June 30, 2020</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2020</w:t>
            </w:r>
          </w:p>
        </w:tc>
        <w:tc>
          <w:tcPr>
            <w:tcW w:w="1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tcPr>
          <w:p>
            <w:pPr>
              <w:jc w:val="right"/>
              <w:ind w:right="610"/>
              <w:spacing w:after="0"/>
              <w:rPr>
                <w:sz w:val="20"/>
                <w:szCs w:val="20"/>
                <w:color w:val="auto"/>
              </w:rPr>
            </w:pPr>
            <w:r>
              <w:rPr>
                <w:rFonts w:ascii="Arial" w:cs="Arial" w:eastAsia="Arial" w:hAnsi="Arial"/>
                <w:sz w:val="18"/>
                <w:szCs w:val="18"/>
                <w:color w:val="auto"/>
              </w:rPr>
              <w:t>2023</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2024</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Borders>
              <w:bottom w:val="single" w:sz="8" w:color="CCEEFF"/>
            </w:tcBorders>
          </w:tcPr>
          <w:p>
            <w:pPr>
              <w:jc w:val="right"/>
              <w:ind w:right="61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Total Lease Payments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Borders>
              <w:bottom w:val="single" w:sz="8" w:color="CCEEFF"/>
            </w:tcBorders>
          </w:tcPr>
          <w:p>
            <w:pPr>
              <w:jc w:val="right"/>
              <w:ind w:right="610"/>
              <w:spacing w:after="0"/>
              <w:rPr>
                <w:sz w:val="20"/>
                <w:szCs w:val="20"/>
                <w:color w:val="auto"/>
              </w:rPr>
            </w:pPr>
            <w:r>
              <w:rPr>
                <w:rFonts w:ascii="Arial" w:cs="Arial" w:eastAsia="Arial" w:hAnsi="Arial"/>
                <w:sz w:val="18"/>
                <w:szCs w:val="18"/>
                <w:color w:val="auto"/>
              </w:rPr>
              <w:t>Imputed Interest</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Present Value of Lease Payments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Borders>
              <w:bottom w:val="single" w:sz="8" w:color="CCEEFF"/>
            </w:tcBorders>
          </w:tcPr>
          <w:p>
            <w:pPr>
              <w:jc w:val="right"/>
              <w:ind w:right="610"/>
              <w:spacing w:after="0"/>
              <w:rPr>
                <w:sz w:val="20"/>
                <w:szCs w:val="20"/>
                <w:color w:val="auto"/>
              </w:rPr>
            </w:pPr>
            <w:r>
              <w:rPr>
                <w:rFonts w:ascii="Arial" w:cs="Arial" w:eastAsia="Arial" w:hAnsi="Arial"/>
                <w:sz w:val="18"/>
                <w:szCs w:val="18"/>
                <w:color w:val="auto"/>
              </w:rPr>
              <w:t>Less Current Portion*</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Non-Current Lease Liability</w:t>
            </w: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Construction - </w:t>
      </w:r>
      <w:r>
        <w:rPr>
          <w:rFonts w:ascii="Arial" w:cs="Arial" w:eastAsia="Arial" w:hAnsi="Arial"/>
          <w:sz w:val="18"/>
          <w:szCs w:val="18"/>
          <w:color w:val="auto"/>
        </w:rPr>
        <w:t>The Company has forecasted to spend approximately $119 million for its construction program in 2020. The Company has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several construction contracts that, in the aggregate, obligate expenditure of an estimated $43 million in the future. The timing and amount of capital expenditures is dependent on project scheduling and refinement of engineering estimates for certain projects and could be impacted if the effects of the COVID-19 pandemic continue for an extended period of time (for further discussion of the impact of COVID-19 on the Company, see </w:t>
      </w:r>
      <w:r>
        <w:rPr>
          <w:rFonts w:ascii="Arial" w:cs="Arial" w:eastAsia="Arial" w:hAnsi="Arial"/>
          <w:sz w:val="18"/>
          <w:szCs w:val="18"/>
          <w:i w:val="1"/>
          <w:iCs w:val="1"/>
          <w:color w:val="auto"/>
        </w:rPr>
        <w:t>Note 1-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Recent Developments, Recent Developments</w:t>
      </w:r>
      <w:r>
        <w:rPr>
          <w:rFonts w:ascii="Arial" w:cs="Arial" w:eastAsia="Arial" w:hAnsi="Arial"/>
          <w:sz w:val="18"/>
          <w:szCs w:val="18"/>
          <w:color w:val="auto"/>
        </w:rPr>
        <w:t>).</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Pension Benefits </w:t>
      </w:r>
      <w:r>
        <w:rPr>
          <w:rFonts w:ascii="Arial" w:cs="Arial" w:eastAsia="Arial" w:hAnsi="Arial"/>
          <w:sz w:val="17"/>
          <w:szCs w:val="17"/>
          <w:color w:val="auto"/>
        </w:rPr>
        <w:t>- The Company’s Pension Plan covers all active employees hired prior to April 1, 2007. Employees hired after March 31, 2007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this plan, but do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the three and six month periods ended June 30, 2020, the Company did not make any Pension Plan cash contributions. For the three and six month periods ended June 30, 2019, the Company made Pension Plan cash contributions of $0.5 million and $1.0 million, respectively. The Company expects to make Pension Plan cash contributions of approximately $3.0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4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retirement plan other than pensions (Other Benefits Plan) covers substantially all of its current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Employees hired after March 31, 2007 are not eligible to participate in this plan. Coverage includes healthcare and life insurance. For each of the three and six month periods ended June 30, 2020, the Company made Other Benefits Plan cash contributions of $0.3 million, respectively. For the three and six month periods ended June 30, 2019, the Company made Other Benefits Plan cash contributions of $0.2 million and $0.4 million, respectively. The Company does not expect to make any additional Other Benefits Plan cash contributions over the remainder of the current year.</w:t>
      </w:r>
    </w:p>
    <w:p>
      <w:pPr>
        <w:sectPr>
          <w:pgSz w:w="11900" w:h="16894" w:orient="portrait"/>
          <w:cols w:equalWidth="0" w:num="1">
            <w:col w:w="11240"/>
          </w:cols>
          <w:pgMar w:left="320" w:top="122" w:right="3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04"/>
        </w:trPr>
        <w:tc>
          <w:tcPr>
            <w:tcW w:w="9820" w:type="dxa"/>
            <w:vAlign w:val="bottom"/>
            <w:gridSpan w:val="7"/>
          </w:tcPr>
          <w:p>
            <w:pPr>
              <w:spacing w:after="0"/>
              <w:rPr>
                <w:sz w:val="20"/>
                <w:szCs w:val="20"/>
                <w:color w:val="auto"/>
              </w:rPr>
            </w:pPr>
            <w:r>
              <w:rPr>
                <w:rFonts w:ascii="Arial" w:cs="Arial" w:eastAsia="Arial" w:hAnsi="Arial"/>
                <w:sz w:val="18"/>
                <w:szCs w:val="18"/>
                <w:color w:val="auto"/>
              </w:rPr>
              <w:t>The following tables set forth information relating to the Company’s periodic costs for its employee retirement benefit plans: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7"/>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center"/>
              <w:ind w:right="170"/>
              <w:spacing w:after="0" w:line="195" w:lineRule="exact"/>
              <w:rPr>
                <w:sz w:val="20"/>
                <w:szCs w:val="20"/>
                <w:color w:val="auto"/>
              </w:rPr>
            </w:pPr>
            <w:r>
              <w:rPr>
                <w:rFonts w:ascii="Arial" w:cs="Arial" w:eastAsia="Arial" w:hAnsi="Arial"/>
                <w:sz w:val="18"/>
                <w:szCs w:val="18"/>
                <w:color w:val="auto"/>
                <w:w w:val="89"/>
              </w:rPr>
              <w:t>Three Months Ended June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2020</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r>
      <w:tr>
        <w:trPr>
          <w:trHeight w:val="196"/>
        </w:trPr>
        <w:tc>
          <w:tcPr>
            <w:tcW w:w="5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857</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338</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631</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r>
      <w:tr>
        <w:trPr>
          <w:trHeight w:val="371"/>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3"/>
          </w:tcPr>
          <w:p>
            <w:pPr>
              <w:jc w:val="center"/>
              <w:ind w:right="150"/>
              <w:spacing w:after="0"/>
              <w:rPr>
                <w:sz w:val="20"/>
                <w:szCs w:val="20"/>
                <w:color w:val="auto"/>
              </w:rPr>
            </w:pPr>
            <w:r>
              <w:rPr>
                <w:rFonts w:ascii="Arial" w:cs="Arial" w:eastAsia="Arial" w:hAnsi="Arial"/>
                <w:sz w:val="18"/>
                <w:szCs w:val="18"/>
                <w:color w:val="auto"/>
                <w:w w:val="89"/>
              </w:rPr>
              <w:t>Six Months Ended June 30,</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2020</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r>
      <w:tr>
        <w:trPr>
          <w:trHeight w:val="196"/>
        </w:trPr>
        <w:tc>
          <w:tcPr>
            <w:tcW w:w="5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497</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1,550</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1,713</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850</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676</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660</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1,260</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581</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cost is included in Operations and Maintenance expense on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revenues are primarily generated from regulated tariff-based sales of water and wastewater services to residential, industrial, commercial, fire protection and wholesale customers, as well as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and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These contracts expire at various times through December 2028 and thus contain remaining performance obligations for which the Company expects to recognize revenue in the future. These contracts also contain termination provisions.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operating revenues and accounts receivable are from contracts with customers. The Company records an allowance for doubtful accounts based on historical write-offs combined with an evaluation of current economic conditions within its service territories.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404"/>
        </w:trPr>
        <w:tc>
          <w:tcPr>
            <w:tcW w:w="5400" w:type="dxa"/>
            <w:vAlign w:val="bottom"/>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7"/>
        </w:trPr>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Three Months Ended June 30,</w:t>
            </w:r>
          </w:p>
        </w:tc>
        <w:tc>
          <w:tcPr>
            <w:tcW w:w="340" w:type="dxa"/>
            <w:vAlign w:val="bottom"/>
          </w:tcPr>
          <w:p>
            <w:pPr>
              <w:spacing w:after="0"/>
              <w:rPr>
                <w:sz w:val="24"/>
                <w:szCs w:val="24"/>
                <w:color w:val="auto"/>
              </w:rPr>
            </w:pPr>
          </w:p>
        </w:tc>
        <w:tc>
          <w:tcPr>
            <w:tcW w:w="254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Six Months Ended June 30,</w:t>
            </w:r>
          </w:p>
        </w:tc>
      </w:tr>
      <w:tr>
        <w:trPr>
          <w:trHeight w:val="230"/>
        </w:trPr>
        <w:tc>
          <w:tcPr>
            <w:tcW w:w="54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Regulated Tariff Sales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19,454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17,780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36,135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33,760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7,018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2,175</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2,321</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4,256</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4,519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3,827</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3,429</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7,525</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6,768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3,076</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2,986</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5,934</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5,810</w:t>
            </w: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35,241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33,358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66,974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64,021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35,277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33,393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67,046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64,090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its 2014 Federal income tax return, the Company adopted the final Internal Revenue Service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2018, the Company increased its income tax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In 2019, the Company paid $2.7 million in connection with the conclusion and closing of the 2014-2017 tax return audits and $0.1 million in interest in connection with the conclusion and closing of the 2014 and 2015 tax return audits. As of June 30, 2020, the Company has reduced its income tax reserve provision and interest expense liability to $0.5 million and $0.2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expected financial condition, performance, prospects and earnings of the Company;</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10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33" w:lineRule="exact"/>
        <w:rPr>
          <w:rFonts w:ascii="Arial" w:cs="Arial" w:eastAsia="Arial" w:hAnsi="Arial"/>
          <w:sz w:val="18"/>
          <w:szCs w:val="18"/>
          <w:color w:val="auto"/>
        </w:rPr>
      </w:pPr>
    </w:p>
    <w:p>
      <w:pPr>
        <w:ind w:left="660" w:right="24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expected amount of cash contributions to fund the Company’s retirement benefit plans, anticipated discount rates and rates of return on plan assets;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safety and reliability of the Company’s equipment, facilities and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plans to renew municipal franchises and consents in the territories it serves;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availability and quality of our water supply.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effects of general economic conditions;</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increases in competition for growth in non-franchised markets to be potentially served by the Company;</w:t>
      </w:r>
    </w:p>
    <w:p>
      <w:pPr>
        <w:spacing w:after="0" w:line="29" w:lineRule="exact"/>
        <w:rPr>
          <w:rFonts w:ascii="Arial" w:cs="Arial" w:eastAsia="Arial" w:hAnsi="Arial"/>
          <w:sz w:val="24"/>
          <w:szCs w:val="24"/>
          <w:color w:val="auto"/>
          <w:vertAlign w:val="superscript"/>
        </w:rPr>
      </w:pPr>
    </w:p>
    <w:p>
      <w:pPr>
        <w:ind w:left="660" w:right="3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actions taken by government regulators, including decisions on rate increase requests;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weather variations and other natural phenomena impacting utility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financial and operating risks associated with acquisitions and, or privatizations;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changes in the pace of housing development;</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availability and cost of capital resources;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the Novel Coronavirus (COVID-19) pandemic;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other factors discussed elsewhere in this quarterly report.</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51,000 retail customers in New Castle, Kent and Sussex Counties, Delaware. Tidewater’s subsidiary, White Marsh, services approximately 1,800 customers in Delaware and Maryland through various operations and maintenance contracts.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3,800 residential retail customers in Sussex Counties, Delaware.</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Beginning July 1, 2020, USA began operating the Borough of Highland Park, New Jersey’s water and wastewater systems. USA also provides unregulated water and wastewater services under contract with several other New Jersey municipalities.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Pennsylvania subsidiary, Twin Lakes, provides water services to approximately 120 retail customers in the Township of Shohola, Pike County, Pennsylvania.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COVID-19 </w:t>
      </w:r>
      <w:r>
        <w:rPr>
          <w:rFonts w:ascii="Arial" w:cs="Arial" w:eastAsia="Arial" w:hAnsi="Arial"/>
          <w:sz w:val="16"/>
          <w:szCs w:val="16"/>
          <w:color w:val="auto"/>
        </w:rPr>
        <w:t>- On March 13, 2020, the United States declared the COVID-19 pandemic a national emergency. The impact on changing economic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due to COVID-19 is uncertain and could affect the Company’s results of operations, financial condition and liquidity in the future. While the Company’s operations and capital construction program have not been significantly disrupted to date from COVID-19, we are unable to accurately assess the impact that COVID-19 will have on our business, our customers and our vendors prospectively due to numerous uncertainties, including the severity of the pandemic, the duration of the outbreak and actions which could potentially be taken by governmental and/or regulatory authorities. The Company has drawn partially on its available lines of credit to provide additional liquidity in the event there is a negative impact to the Company’s business, results of operations, financial condition or liquidity resulting from COVID-19. As of July 31, 2020, there remains $106.5 million available under these lines of credit (see Note 6, </w:t>
      </w:r>
      <w:r>
        <w:rPr>
          <w:rFonts w:ascii="Arial" w:cs="Arial" w:eastAsia="Arial" w:hAnsi="Arial"/>
          <w:sz w:val="16"/>
          <w:szCs w:val="16"/>
          <w:i w:val="1"/>
          <w:iCs w:val="1"/>
          <w:color w:val="auto"/>
        </w:rPr>
        <w:t>Short-term Borrowings</w:t>
      </w:r>
      <w:r>
        <w:rPr>
          <w:rFonts w:ascii="Arial" w:cs="Arial" w:eastAsia="Arial" w:hAnsi="Arial"/>
          <w:sz w:val="16"/>
          <w:szCs w:val="16"/>
          <w:color w:val="auto"/>
        </w:rPr>
        <w:t xml:space="preserve"> for further information on lines of credit). In addition, the New Jersey Board of Public Utilities (NJBPU) and the Delaware Public Service Commission have allowed for potential future recovery of COVID-19 related incremental costs in customer rates by regulated utilities in their respective jurisdictions. Neither jurisdiction has yet to establish a timetable or method for formally seeking cost recovery. We will continue to monitor and evaluate the COVID-19 situation and its impact to the Company’s business, results of operations, financial condition and liquidity.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Operations – In May 2020, USA, through a competitive bidding process, was awarded a ten-year, $8.3 million contract to operate and maintain the Borough of Highland Park, New Jersey’s water and wastewater systems. The contract commenced July 1, 2020.</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The Company plans to invest approximately $119 million in 2020 in connection with this plan for projects that include, but are not limited to:</w:t>
      </w:r>
    </w:p>
    <w:p>
      <w:pPr>
        <w:spacing w:after="0" w:line="42" w:lineRule="exact"/>
        <w:rPr>
          <w:sz w:val="20"/>
          <w:szCs w:val="20"/>
          <w:color w:val="auto"/>
        </w:rPr>
      </w:pPr>
    </w:p>
    <w:p>
      <w:pPr>
        <w:ind w:left="660" w:right="260" w:hanging="328"/>
        <w:spacing w:after="0" w:line="207"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Enhanced treatment process at the Company’s largest water treatment plant in Edison, New Jersey, to mitigate the formation of disinfection by-products that can develop during the water treatment process;</w:t>
      </w:r>
    </w:p>
    <w:p>
      <w:pPr>
        <w:sectPr>
          <w:pgSz w:w="11900" w:h="16838" w:orient="portrait"/>
          <w:cols w:equalWidth="0" w:num="1">
            <w:col w:w="11240"/>
          </w:cols>
          <w:pgMar w:left="320" w:top="121" w:right="339" w:bottom="1440" w:gutter="0" w:footer="0" w:header="0"/>
        </w:sectPr>
      </w:pPr>
    </w:p>
    <w:p>
      <w:pPr>
        <w:ind w:left="34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40"/>
        <w:spacing w:after="0" w:line="273" w:lineRule="auto"/>
        <w:rPr>
          <w:sz w:val="20"/>
          <w:szCs w:val="20"/>
          <w:color w:val="auto"/>
        </w:rPr>
      </w:pPr>
      <w:r>
        <w:rPr>
          <w:rFonts w:ascii="Arial" w:cs="Arial" w:eastAsia="Arial" w:hAnsi="Arial"/>
          <w:sz w:val="18"/>
          <w:szCs w:val="18"/>
          <w:color w:val="auto"/>
        </w:rPr>
        <w:t>Enhanced treatment processes at the Company’s primary wellfield in South Plainfield, New Jersey to comply with new, more stringent water quality regulations and integrate surge mitigation along with revisions to corrosion control and chlorination;</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Replacement of approximately six miles of water mains including service lines, valves, fire hydrants and meters in Edison and South Amboy, New Jersey;</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hanging="328"/>
        <w:spacing w:after="0" w:line="209"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Construction of a new replacement wastewater treatment plant to serve our customers in the Town of Milton, Delaware;</w:t>
      </w:r>
    </w:p>
    <w:p>
      <w:pPr>
        <w:spacing w:after="0" w:line="53" w:lineRule="exact"/>
        <w:rPr>
          <w:rFonts w:ascii="Arial" w:cs="Arial" w:eastAsia="Arial" w:hAnsi="Arial"/>
          <w:sz w:val="27"/>
          <w:szCs w:val="27"/>
          <w:color w:val="auto"/>
        </w:rPr>
      </w:pPr>
    </w:p>
    <w:p>
      <w:pPr>
        <w:ind w:left="660" w:right="160" w:hanging="328"/>
        <w:spacing w:after="0" w:line="200"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Relocation of water meters from inside customers’ premises to exterior meter pits to allow more timely access by crews in emergencies, enhance customer safety and convenience and reduce non-revenue water; and</w:t>
      </w:r>
    </w:p>
    <w:p>
      <w:pPr>
        <w:spacing w:after="0" w:line="1" w:lineRule="exact"/>
        <w:rPr>
          <w:rFonts w:ascii="Arial" w:cs="Arial" w:eastAsia="Arial" w:hAnsi="Arial"/>
          <w:sz w:val="27"/>
          <w:szCs w:val="27"/>
          <w:color w:val="auto"/>
        </w:rPr>
      </w:pPr>
    </w:p>
    <w:p>
      <w:pPr>
        <w:ind w:left="660" w:hanging="328"/>
        <w:spacing w:after="0" w:line="198"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Additional standby emergency power generation.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actual amount and timing of capital expenditures is dependent on project scheduling and refinement of engineering estimates for certain capital projects and may be significantly impacted if the effects of COVID-19 continue for an extended period of time (for further discussion of the impact of COVID-19 on the Company, see </w:t>
      </w:r>
      <w:r>
        <w:rPr>
          <w:rFonts w:ascii="Arial" w:cs="Arial" w:eastAsia="Arial" w:hAnsi="Arial"/>
          <w:sz w:val="18"/>
          <w:szCs w:val="18"/>
          <w:i w:val="1"/>
          <w:iCs w:val="1"/>
          <w:color w:val="auto"/>
        </w:rPr>
        <w:t>Note 1- Basis of Presentation and Recent Developments, Recent Developments</w:t>
      </w:r>
      <w:r>
        <w:rPr>
          <w:rFonts w:ascii="Arial" w:cs="Arial" w:eastAsia="Arial" w:hAnsi="Arial"/>
          <w:sz w:val="18"/>
          <w:szCs w:val="18"/>
          <w:color w:val="auto"/>
        </w:rPr>
        <w: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Twin Lakes Base Rate Increase - </w:t>
      </w:r>
      <w:r>
        <w:rPr>
          <w:rFonts w:ascii="Arial" w:cs="Arial" w:eastAsia="Arial" w:hAnsi="Arial"/>
          <w:sz w:val="18"/>
          <w:szCs w:val="18"/>
          <w:color w:val="auto"/>
        </w:rPr>
        <w:t>In March 2020, the Pennsylvania Public Utilities Commission (PAPUC) approved a $0.1 million increase in annualized</w:t>
      </w:r>
      <w:r>
        <w:rPr>
          <w:rFonts w:ascii="Arial" w:cs="Arial" w:eastAsia="Arial" w:hAnsi="Arial"/>
          <w:sz w:val="18"/>
          <w:szCs w:val="18"/>
          <w:b w:val="1"/>
          <w:bCs w:val="1"/>
          <w:color w:val="auto"/>
        </w:rPr>
        <w:t xml:space="preserve"> </w:t>
      </w:r>
      <w:r>
        <w:rPr>
          <w:rFonts w:ascii="Arial" w:cs="Arial" w:eastAsia="Arial" w:hAnsi="Arial"/>
          <w:sz w:val="18"/>
          <w:szCs w:val="18"/>
          <w:color w:val="auto"/>
        </w:rPr>
        <w:t>base rates for Twin Lakes. In July 2019, Twin Lakes had filed a petition with the PAPUC seeking permission to increase annualized base rates by approximately $0.2 million, necessitated by capital infrastructure investments and increased operations and maintenance costs. The new rates became effective April 19, 2020.</w:t>
      </w:r>
    </w:p>
    <w:p>
      <w:pPr>
        <w:spacing w:after="0" w:line="1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Middlesex Private Placement – </w:t>
      </w:r>
      <w:r>
        <w:rPr>
          <w:rFonts w:ascii="Arial" w:cs="Arial" w:eastAsia="Arial" w:hAnsi="Arial"/>
          <w:sz w:val="17"/>
          <w:szCs w:val="17"/>
          <w:color w:val="auto"/>
        </w:rPr>
        <w:t>In May 2020, Middlesex received approval from the NJBPU to borrow up to $100.0 million, in one or more private</w:t>
      </w:r>
      <w:r>
        <w:rPr>
          <w:rFonts w:ascii="Arial" w:cs="Arial" w:eastAsia="Arial" w:hAnsi="Arial"/>
          <w:sz w:val="17"/>
          <w:szCs w:val="17"/>
          <w:b w:val="1"/>
          <w:bCs w:val="1"/>
          <w:color w:val="auto"/>
        </w:rPr>
        <w:t xml:space="preserve"> </w:t>
      </w:r>
      <w:r>
        <w:rPr>
          <w:rFonts w:ascii="Arial" w:cs="Arial" w:eastAsia="Arial" w:hAnsi="Arial"/>
          <w:sz w:val="17"/>
          <w:szCs w:val="17"/>
          <w:color w:val="auto"/>
        </w:rPr>
        <w:t>placement transactions to help fund Middlesex’s multi-year capital construction program. Although Middlesex intends to close on a private placement loan of up to $40 million before the end of 2020, ongoing volatility in the financial markets may influence the timing and amount of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Normally, our ability to increase operating income and net income is based significantly on four factors: weather, adequate and timely rate relief, effective cost management and customer growth (which are evident in comparison discussions in the Results of Operations section below). Weather patterns over the last three years in our service territories, which resulted in lower customer demand for water, may reoccur in 2020. As operating costs are anticipated to increase in 2020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 An additional factor that is expected to affect our outlook over the remainder of 2020 is the impact of COVID-19 on the general economy and the resulting impact on our customers. For example, while many commercial business operations have closed or curtailed operations as a result of the State of Emergency Orders (SEOs) issued by the Governors of the respective states in which we operate, resulting in lower water demand for that class of customer, usage by residential customers has increased due in part to SEOs and remote working arrangements. (for further discussion of the impact of COVID-19 on the Company, see </w:t>
      </w:r>
      <w:r>
        <w:rPr>
          <w:rFonts w:ascii="Arial" w:cs="Arial" w:eastAsia="Arial" w:hAnsi="Arial"/>
          <w:sz w:val="16"/>
          <w:szCs w:val="16"/>
          <w:i w:val="1"/>
          <w:iCs w:val="1"/>
          <w:color w:val="auto"/>
        </w:rPr>
        <w:t>Note 1- Basis of Presentation and Recent Developments, Recent</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Developments</w:t>
      </w:r>
      <w:r>
        <w:rPr>
          <w:rFonts w:ascii="Arial" w:cs="Arial" w:eastAsia="Arial" w:hAnsi="Arial"/>
          <w:sz w:val="16"/>
          <w:szCs w:val="16"/>
          <w:color w:val="auto"/>
        </w:rPr>
        <w:t>). In addition, our customer collection efforts have been suspended based on SEOs. Those same SEOs have declared utility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to be essential and therefore, are allowed to continue subject to nationally-established COVID-19 safety precautions.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Organic residential customer growth for 2020 is expected to be consistent with that experienced in recent years.</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strategy for profitable growth is focused on the following key areas:</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right="3140"/>
        <w:spacing w:after="0" w:line="346" w:lineRule="auto"/>
        <w:rPr>
          <w:sz w:val="20"/>
          <w:szCs w:val="20"/>
          <w:color w:val="auto"/>
        </w:rPr>
      </w:pPr>
      <w:r>
        <w:rPr>
          <w:rFonts w:ascii="Arial" w:cs="Arial" w:eastAsia="Arial" w:hAnsi="Arial"/>
          <w:sz w:val="16"/>
          <w:szCs w:val="16"/>
          <w:color w:val="auto"/>
        </w:rPr>
        <w:t>Invest in projects, products and services that complement our core water and wastewater competencies; Timely and adequate recovery of infrastructure investments and other costs to maintain service quality; Prudent acquisitions of investor and municipally-owned water and wastewater utilities;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 of municipal and industrial water and wastewater systems on a contract basis which meet our risk/reward profile.</w:t>
      </w:r>
    </w:p>
    <w:p>
      <w:pPr>
        <w:spacing w:after="0" w:line="18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TESI and Twin Lakes; Non-Regulated-USA, USA-PA, and White Marsh.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jc w:val="right"/>
              <w:ind w:right="500"/>
              <w:spacing w:after="0"/>
              <w:rPr>
                <w:sz w:val="20"/>
                <w:szCs w:val="20"/>
                <w:color w:val="auto"/>
              </w:rPr>
            </w:pPr>
            <w:r>
              <w:rPr>
                <w:rFonts w:ascii="Arial" w:cs="Arial" w:eastAsia="Arial" w:hAnsi="Arial"/>
                <w:sz w:val="18"/>
                <w:szCs w:val="18"/>
                <w:color w:val="auto"/>
                <w:w w:val="90"/>
              </w:rPr>
              <w:t>Three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33,393</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15,397</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14,957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1,824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3,587</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3,485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3,539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8,639</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7,903</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1,941</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(1,387)</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9,192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521</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9,713</w:t>
            </w:r>
          </w:p>
        </w:tc>
        <w:tc>
          <w:tcPr>
            <w:tcW w:w="2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7,423</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723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8,146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for the three months ended June 30, 2020 increased $1.9 million from the same period in 2019 due to the following factors: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Middlesex System revenues increased $0.6 million due to increased customer demand;</w:t>
      </w:r>
    </w:p>
    <w:p>
      <w:pPr>
        <w:spacing w:after="0" w:line="50" w:lineRule="exact"/>
        <w:rPr>
          <w:sz w:val="20"/>
          <w:szCs w:val="20"/>
          <w:color w:val="auto"/>
        </w:rPr>
      </w:pPr>
    </w:p>
    <w:p>
      <w:pPr>
        <w:ind w:right="2240"/>
        <w:spacing w:after="0" w:line="326" w:lineRule="auto"/>
        <w:rPr>
          <w:sz w:val="20"/>
          <w:szCs w:val="20"/>
          <w:color w:val="auto"/>
        </w:rPr>
      </w:pPr>
      <w:r>
        <w:rPr>
          <w:rFonts w:ascii="Arial" w:cs="Arial" w:eastAsia="Arial" w:hAnsi="Arial"/>
          <w:sz w:val="18"/>
          <w:szCs w:val="18"/>
          <w:color w:val="auto"/>
        </w:rPr>
        <w:t>Tidewater System revenues increased $1.0 million due to increased customer demand and additional customers; Pinelands revenues increased $0.1 million due to the base rate increase that went into effect in November 2019; and All other revenue categories increased $0.2 million.</w:t>
      </w:r>
    </w:p>
    <w:p>
      <w:pPr>
        <w:spacing w:after="0" w:line="102"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three months ended June 30, 2020 increased $0.8 million from the same period in 2019 due to the following factors:</w:t>
      </w:r>
    </w:p>
    <w:p>
      <w:pPr>
        <w:sectPr>
          <w:pgSz w:w="11900" w:h="16838" w:orient="portrait"/>
          <w:cols w:equalWidth="0" w:num="1">
            <w:col w:w="11240"/>
          </w:cols>
          <w:pgMar w:left="320" w:top="121" w:right="339" w:bottom="1440" w:gutter="0" w:footer="0" w:header="0"/>
          <w:type w:val="continuous"/>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Retirement benefit plan expenses increased $0.2 million primarily due to higher actuarially-determined retirement benefit plan service expense;</w:t>
      </w:r>
    </w:p>
    <w:p>
      <w:pPr>
        <w:spacing w:after="0" w:line="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Variable production costs increased $0.5 million due to higher customer demand and higher treatment costs due to weather-impacted changes in raw water quality;</w:t>
      </w:r>
    </w:p>
    <w:p>
      <w:pPr>
        <w:spacing w:after="0" w:line="8" w:lineRule="exact"/>
        <w:rPr>
          <w:sz w:val="20"/>
          <w:szCs w:val="20"/>
          <w:color w:val="auto"/>
        </w:rPr>
      </w:pPr>
    </w:p>
    <w:p>
      <w:pPr>
        <w:ind w:right="680"/>
        <w:spacing w:after="0" w:line="273" w:lineRule="auto"/>
        <w:rPr>
          <w:sz w:val="20"/>
          <w:szCs w:val="20"/>
          <w:color w:val="auto"/>
        </w:rPr>
      </w:pPr>
      <w:r>
        <w:rPr>
          <w:rFonts w:ascii="Arial" w:cs="Arial" w:eastAsia="Arial" w:hAnsi="Arial"/>
          <w:sz w:val="18"/>
          <w:szCs w:val="18"/>
          <w:color w:val="auto"/>
        </w:rPr>
        <w:t>Labor costs rose $0.2 million due to additional employees required for regulatory and other operational needs, and wage increases overall averaging approximately 3%;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other operation and maintenance expense categories decreased $0.1 million.</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June 30, 2020 increased $0.5 million from the same period in 2019 due to a higher level of utility plant in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three months ended June 30, 2020 increased $0.1 million from the same period in 2019 primarily due to higher revenue related taxes on increased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June 30, 2020 increased $0.6 million from the same period in 2019 primarily due to higher Allowance for Funds Used During Construction resulting from a higher level of capital projects in progress and lower actuarially-determined postretirement benefit plan non-service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June 30, 2020 increased $0.2 million from the same period in 2019 due to higher average short-term and long-term debt outstanding in 2020 as compared to 2019 partially offset by lower average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for the three months ended June 30, 2020 decreased $0.7 million from the same period in 2019, primarily due to the regulatory accounting treatment of tax benefits associated with the adoption of the tangible property regulations, which was approved in Middlesex’s 2018 base rate case decision</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June 30, 2020 increased $1.6 million as compared with the same period in 2019. Basic earnings per share were $0.55 and $0.49 for the three months ended June 30, 2020 and 2019, respectively. Diluted earnings per share were also $0.55 and $0.49 for the three months ended June 30,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June 30,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8"/>
                <w:szCs w:val="18"/>
                <w:color w:val="auto"/>
                <w:w w:val="92"/>
              </w:rPr>
              <w:t>Six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2"/>
              </w:rPr>
              <w:t>Non-</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Regulated</w:t>
            </w:r>
          </w:p>
        </w:tc>
        <w:tc>
          <w:tcPr>
            <w:tcW w:w="16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30,540</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4,272</w:t>
            </w: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3,527</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32,901</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7,114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7,245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6,923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1,432</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13,936</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15,977</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3,609</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(2,921)</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9"/>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16,371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1,010</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17,381</w:t>
            </w:r>
          </w:p>
        </w:tc>
        <w:tc>
          <w:tcPr>
            <w:tcW w:w="2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13,290</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1,406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six months ended June 30, 2020 increased $3.0 million from the same period in 2019 due to the following factors:</w:t>
      </w:r>
    </w:p>
    <w:p>
      <w:pPr>
        <w:spacing w:after="0" w:line="1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Middlesex System revenues increased $1.1 million due to increased customer demand;</w:t>
      </w:r>
    </w:p>
    <w:p>
      <w:pPr>
        <w:spacing w:after="0" w:line="42"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Tidewater System revenues increased $1.4 million due to increased customer demand and additional customers;</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Pinelands revenues increased $0.2 million due to the base rate increase that went into effect in November 2019;</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17"/>
          <w:szCs w:val="17"/>
          <w:color w:val="auto"/>
        </w:rPr>
        <w:t>Non-regulated revenues increased $0.1 million due to increased supplemental services to existing customers under contract; and</w:t>
      </w:r>
    </w:p>
    <w:p>
      <w:pPr>
        <w:spacing w:after="0" w:line="42" w:lineRule="exact"/>
        <w:rPr>
          <w:rFonts w:ascii="Arial" w:cs="Arial" w:eastAsia="Arial" w:hAnsi="Arial"/>
          <w:sz w:val="25"/>
          <w:szCs w:val="25"/>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All other revenue categories increased $0.2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six months ended June 30, 2020 increased $1.9 million from the same period in 2019 due to the following factors:</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Retirement benefit plan expenses increased $0.4 million primarily due to higher actuarially-determined retirement benefit plan service expense;</w:t>
      </w:r>
    </w:p>
    <w:p>
      <w:pPr>
        <w:spacing w:after="0" w:line="42" w:lineRule="exact"/>
        <w:rPr>
          <w:rFonts w:ascii="Arial" w:cs="Arial" w:eastAsia="Arial" w:hAnsi="Arial"/>
          <w:sz w:val="24"/>
          <w:szCs w:val="24"/>
          <w:color w:val="auto"/>
        </w:rPr>
      </w:pPr>
    </w:p>
    <w:p>
      <w:pPr>
        <w:ind w:left="660" w:right="220" w:hanging="328"/>
        <w:spacing w:after="0" w:line="199"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Variable production costs increased $0.7 million due to higher customer demand and higher treatment costs due to weather-impacted changes in raw water quality;</w:t>
      </w:r>
    </w:p>
    <w:p>
      <w:pPr>
        <w:spacing w:after="0" w:line="40" w:lineRule="exact"/>
        <w:rPr>
          <w:rFonts w:ascii="Arial" w:cs="Arial" w:eastAsia="Arial" w:hAnsi="Arial"/>
          <w:sz w:val="27"/>
          <w:szCs w:val="27"/>
          <w:color w:val="auto"/>
        </w:rPr>
      </w:pPr>
    </w:p>
    <w:p>
      <w:pPr>
        <w:ind w:left="660" w:right="68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Labor costs rose $0.4 million due to additional employees required for regulatory and other operational needs, and wage increases overall averaging approximately 3%; and</w:t>
      </w:r>
    </w:p>
    <w:p>
      <w:pPr>
        <w:ind w:left="660" w:hanging="328"/>
        <w:spacing w:after="0" w:line="20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All other operation and maintenance expense categories increased $0.4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six months ended June 30, 2020 increased $0.9 million from the same period in 2019 due to a higher level of utility plant in service.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six months ended June 30, 2020 increased $0.2 million from the same period in 2019 primarily due to higher revenue related taxes on increased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six months ended June 30, 2020 increased $1.6 million from the same period in 2019 primarily due to higher Allowance for Funds Used During Construction resulting from a higher level of capital projects in progress and lower actuarially-determined postretirement benefit plan non-service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six months ended June 30, 2020 increased $0.6 million from the same period in 2019 due to higher average short-term and long-term debt outstanding in 2020 as compared to 2019 partially offset by lower average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for the six months ended June 30, 2020 decreased $1.8 million from the same period in 2019, primarily due to the regulatory accounting treatment of tax benefits associated with the adoption of the tangible property regulations, which was approved in Middlesex’s 2018 base rate case decision</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six months ended June 30, 2020 increased $2.7 million as compared with the same period in 2019. Basic earnings per share were $0.99 and $0.89 for the six months ended June 30, 2020 and 2019, respectively. Diluted earnings per share were $0.99 and $0.88 for the six months ended June 30,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 months ended June 30, 2020, cash flows from operating activities increased $9.2 million to $20.8 million. The increase in cash flows from operating activities primarily resulted from reduced income tax payments, reduced employee benefit plan contributions and higher net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2020, cash flows used in investing activities increased $9.7 million to $45.4 million. The increase in cash flows used in investing activities resulted from increased utility plant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cash flows from financing activities decreased $2.3 million to $20.2 million. The decrease in cash flows provided by financing activities is due to lower proceeds from the issuance of long-term debt and common stock under the Middlesex Water Company Investment Plan (the Investment Plan) partially offset by the net increase in short-term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investment program for 2020 is currently estimated to be approximately $119 million. Through June 30, 2020, we have expended $45 million and expect to incur approximately $74 million for capital projects for the remainder of 2020.</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currently project we will expend approximately $179 million for capital projects in 2021 and 2022. The actual amount and timing of capital expenditures is dependent on project scheduling and refinement of engineering estimates for certain capital projects. The timing of capital expenditures could be impacted if the effects of COVID-19 continue for an extended period of time (for further discussion of the impact of COVID-19 on the Company, see the </w:t>
      </w:r>
      <w:r>
        <w:rPr>
          <w:rFonts w:ascii="Arial" w:cs="Arial" w:eastAsia="Arial" w:hAnsi="Arial"/>
          <w:sz w:val="17"/>
          <w:szCs w:val="17"/>
          <w:i w:val="1"/>
          <w:iCs w:val="1"/>
          <w:color w:val="auto"/>
        </w:rPr>
        <w:t>Recent Developments</w:t>
      </w:r>
      <w:r>
        <w:rPr>
          <w:rFonts w:ascii="Arial" w:cs="Arial" w:eastAsia="Arial" w:hAnsi="Arial"/>
          <w:sz w:val="17"/>
          <w:szCs w:val="17"/>
          <w:color w:val="auto"/>
        </w:rPr>
        <w:t xml:space="preserve"> section of </w:t>
      </w:r>
      <w:r>
        <w:rPr>
          <w:rFonts w:ascii="Arial" w:cs="Arial" w:eastAsia="Arial" w:hAnsi="Arial"/>
          <w:sz w:val="17"/>
          <w:szCs w:val="17"/>
          <w:i w:val="1"/>
          <w:iCs w:val="1"/>
          <w:color w:val="auto"/>
        </w:rPr>
        <w:t>Note 1</w:t>
      </w:r>
      <w:r>
        <w:rPr>
          <w:rFonts w:ascii="Arial" w:cs="Arial" w:eastAsia="Arial" w:hAnsi="Arial"/>
          <w:sz w:val="17"/>
          <w:szCs w:val="17"/>
          <w:color w:val="auto"/>
        </w:rPr>
        <w:t xml:space="preserve"> of the Notes to the Unaudited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fund our capital program for the remainder of 2020, we plan on utilizing:</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Short-term borrowings, as needed, through $140 million of lines of credit established with three financial institutions. As of June 30, 2020, there was $102.5 million of available credit under these lines (for further discussion on Company lines of credit,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of the Notes to the Unaudited Condensed Consolidated Financial Statements);</w:t>
      </w:r>
    </w:p>
    <w:p>
      <w:pPr>
        <w:spacing w:after="0" w:line="2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100" w:hanging="328"/>
        <w:spacing w:after="0" w:line="207"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Proceeds from the New Jersey State Revolving Fund (SRF). SRF programs provide low cost financing for projects that meet certain water quality and system improvement benchmarks;</w:t>
      </w:r>
    </w:p>
    <w:p>
      <w:pPr>
        <w:sectPr>
          <w:pgSz w:w="11900" w:h="16838" w:orient="portrait"/>
          <w:cols w:equalWidth="0" w:num="1">
            <w:col w:w="1124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860"/>
        <w:spacing w:after="0" w:line="305" w:lineRule="auto"/>
        <w:rPr>
          <w:sz w:val="20"/>
          <w:szCs w:val="20"/>
          <w:color w:val="auto"/>
        </w:rPr>
      </w:pPr>
      <w:r>
        <w:rPr>
          <w:rFonts w:ascii="Arial" w:cs="Arial" w:eastAsia="Arial" w:hAnsi="Arial"/>
          <w:sz w:val="18"/>
          <w:szCs w:val="18"/>
          <w:color w:val="auto"/>
        </w:rPr>
        <w:t>Proceeds from the August 2019 issuance and sale of First Mortgage Bonds through the New Jersey Economic Development Authority; Proceeds from the Investment Plan; and</w:t>
      </w:r>
    </w:p>
    <w:p>
      <w:pPr>
        <w:ind w:right="280"/>
        <w:spacing w:after="0" w:line="277" w:lineRule="auto"/>
        <w:rPr>
          <w:sz w:val="20"/>
          <w:szCs w:val="20"/>
          <w:color w:val="auto"/>
        </w:rPr>
      </w:pPr>
      <w:r>
        <w:rPr>
          <w:rFonts w:ascii="Arial" w:cs="Arial" w:eastAsia="Arial" w:hAnsi="Arial"/>
          <w:sz w:val="18"/>
          <w:szCs w:val="18"/>
          <w:color w:val="auto"/>
        </w:rPr>
        <w:t xml:space="preserve">Proceeds from the sale and issuance of debt securities in one or more private placement offerings (for further information, see discussion under </w:t>
      </w:r>
      <w:r>
        <w:rPr>
          <w:rFonts w:ascii="Arial" w:cs="Arial" w:eastAsia="Arial" w:hAnsi="Arial"/>
          <w:sz w:val="18"/>
          <w:szCs w:val="18"/>
          <w:i w:val="1"/>
          <w:iCs w:val="1"/>
          <w:color w:val="auto"/>
        </w:rPr>
        <w:t>Recent Developments-Middlesex Private Placement</w:t>
      </w: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consistent with the basis on which customers’ rates are established for a regulated water utility, Middlesex may offer for sale additional shares of its common stock. The amount, the timing and the method of sale of the common stock is dependent on the timing of the construction expenditures, the level of additional debt financing and financial market conditions. As approved by the NJBPU, the Company is authorized to issue and sell up to 0.7 million shares of its common stock in one or more transactions through December 31, 2022.</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$7.3 million of the current portion of existing long-term debt instruments will mature. Applying a hypothetical change in the rate of interest charged by 10% on those borrowings, would not have a material effect on our earnings.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risk factor is provided to update the risk factors previously disclosed under the heading “Risk Factors” set forth in Part I, Item 1A. of the Company’s Annual Report on Form 10-K for the year ended December 31, 2019.</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Novel Coronavirus (COVID-19) pandemic and the attempt to contain it may harm our business, results of operations, financial condition and liquidity.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2020, the United States declared the COVID-19 pandemic a national emergency. The impact that COVID-19 will have on the Company, our customers and our vendors prospectively depends on numerous uncertainties, including the severity of the pandemic, the duration of the outbreak, and actions which could potentially be taken by governmental and/or regulatory authorities’ and could have an adverse effect on the Company’s business, results of operations, financial condition, and liquidity.</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2">
        <w:r>
          <w:rPr>
            <w:rFonts w:ascii="Arial" w:cs="Arial" w:eastAsia="Arial" w:hAnsi="Arial"/>
            <w:sz w:val="16"/>
            <w:szCs w:val="16"/>
            <w:u w:val="single" w:color="auto"/>
            <w:color w:val="0000EE"/>
          </w:rPr>
          <w:t>Section 302 Certification by Dennis W. Doll pursuant to Rules 13a-14 and 15d-14 of the Securities Exchange Act of 1934.</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3">
        <w:r>
          <w:rPr>
            <w:rFonts w:ascii="Arial" w:cs="Arial" w:eastAsia="Arial" w:hAnsi="Arial"/>
            <w:sz w:val="16"/>
            <w:szCs w:val="16"/>
            <w:u w:val="single" w:color="auto"/>
            <w:color w:val="0000EE"/>
          </w:rPr>
          <w:t>Section 302 Certification by A. Bruce O’Connor pursuant to Rules 13a-14 and 15d-14 of the Securities Exchange Act of 1934.</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34">
        <w:r>
          <w:rPr>
            <w:rFonts w:ascii="Arial" w:cs="Arial" w:eastAsia="Arial" w:hAnsi="Arial"/>
            <w:sz w:val="16"/>
            <w:szCs w:val="16"/>
            <w:u w:val="single" w:color="auto"/>
            <w:color w:val="0000EE"/>
          </w:rPr>
          <w:t>Section 906 Certification by Dennis W. Doll pursuant to 18 U.S.C. §1350, as adopted pursuant to Section 302 of the Sarbanes-Oxley Act of 2002.</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35">
        <w:r>
          <w:rPr>
            <w:rFonts w:ascii="Arial" w:cs="Arial" w:eastAsia="Arial" w:hAnsi="Arial"/>
            <w:sz w:val="16"/>
            <w:szCs w:val="16"/>
            <w:u w:val="single" w:color="auto"/>
            <w:color w:val="0000EE"/>
          </w:rPr>
          <w:t>Section 906 Certification by A. Bruce O’Connor pursuant to 18 U.S.C. §1350, as adopted pursuant to Section 302 of the Sarbanes-Oxley Act of</w:t>
        </w:r>
      </w:hyperlink>
    </w:p>
    <w:p>
      <w:pPr>
        <w:spacing w:after="0" w:line="23" w:lineRule="exact"/>
        <w:rPr>
          <w:sz w:val="20"/>
          <w:szCs w:val="20"/>
          <w:color w:val="auto"/>
        </w:rPr>
      </w:pPr>
    </w:p>
    <w:p>
      <w:pPr>
        <w:ind w:left="6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2002.</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32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324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3240" w:type="dxa"/>
            <w:vAlign w:val="bottom"/>
          </w:tcPr>
          <w:p>
            <w:pPr>
              <w:ind w:left="340"/>
              <w:spacing w:after="0"/>
              <w:rPr>
                <w:sz w:val="20"/>
                <w:szCs w:val="20"/>
                <w:color w:val="auto"/>
              </w:rPr>
            </w:pPr>
            <w:r>
              <w:rPr>
                <w:rFonts w:ascii="Arial" w:cs="Arial" w:eastAsia="Arial" w:hAnsi="Arial"/>
                <w:sz w:val="18"/>
                <w:szCs w:val="18"/>
                <w:color w:val="auto"/>
                <w:w w:val="94"/>
              </w:rPr>
              <w:t>XBRL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3240" w:type="dxa"/>
            <w:vAlign w:val="bottom"/>
          </w:tcPr>
          <w:p>
            <w:pPr>
              <w:ind w:left="34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3240" w:type="dxa"/>
            <w:vAlign w:val="bottom"/>
          </w:tcPr>
          <w:p>
            <w:pPr>
              <w:ind w:left="340"/>
              <w:spacing w:after="0"/>
              <w:rPr>
                <w:sz w:val="20"/>
                <w:szCs w:val="20"/>
                <w:color w:val="auto"/>
              </w:rPr>
            </w:pPr>
            <w:r>
              <w:rPr>
                <w:rFonts w:ascii="Arial" w:cs="Arial" w:eastAsia="Arial" w:hAnsi="Arial"/>
                <w:sz w:val="18"/>
                <w:szCs w:val="18"/>
                <w:color w:val="auto"/>
                <w:w w:val="90"/>
              </w:rPr>
              <w:t>XBRL Presentation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3240" w:type="dxa"/>
            <w:vAlign w:val="bottom"/>
          </w:tcPr>
          <w:p>
            <w:pPr>
              <w:ind w:left="340"/>
              <w:spacing w:after="0"/>
              <w:rPr>
                <w:sz w:val="20"/>
                <w:szCs w:val="20"/>
                <w:color w:val="auto"/>
              </w:rPr>
            </w:pPr>
            <w:r>
              <w:rPr>
                <w:rFonts w:ascii="Arial" w:cs="Arial" w:eastAsia="Arial" w:hAnsi="Arial"/>
                <w:sz w:val="18"/>
                <w:szCs w:val="18"/>
                <w:color w:val="auto"/>
                <w:w w:val="98"/>
              </w:rPr>
              <w:t>XBRL Definition Linkbase Document</w:t>
            </w:r>
          </w:p>
        </w:tc>
      </w:tr>
    </w:tbl>
    <w:p>
      <w:pPr>
        <w:spacing w:after="0" w:line="202" w:lineRule="exact"/>
        <w:rPr>
          <w:sz w:val="20"/>
          <w:szCs w:val="20"/>
          <w:color w:val="auto"/>
        </w:rPr>
      </w:pPr>
    </w:p>
    <w:p>
      <w:pPr>
        <w:ind w:left="1340" w:right="60" w:hanging="1332"/>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73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2"/>
          </w:tcPr>
          <w:p>
            <w:pPr>
              <w:spacing w:after="0"/>
              <w:rPr>
                <w:sz w:val="20"/>
                <w:szCs w:val="20"/>
                <w:color w:val="auto"/>
              </w:rPr>
            </w:pPr>
            <w:r>
              <w:rPr>
                <w:rFonts w:ascii="Arial" w:cs="Arial" w:eastAsia="Arial" w:hAnsi="Arial"/>
                <w:sz w:val="18"/>
                <w:szCs w:val="18"/>
                <w:color w:val="auto"/>
              </w:rPr>
              <w:t>/s/ A. Bruce O’Connor</w:t>
            </w:r>
          </w:p>
        </w:tc>
      </w:tr>
      <w:tr>
        <w:trPr>
          <w:trHeight w:val="195"/>
        </w:trPr>
        <w:tc>
          <w:tcPr>
            <w:tcW w:w="56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 Bruce O’Connor</w:t>
            </w:r>
          </w:p>
        </w:tc>
        <w:tc>
          <w:tcPr>
            <w:tcW w:w="82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Senior Vice President, Treasurer and</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bl>
    <w:p>
      <w:pPr>
        <w:spacing w:after="0" w:line="1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6350</wp:posOffset>
            </wp:positionV>
            <wp:extent cx="10801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151765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2" w:name="page33"/>
    <w:bookmarkEnd w:id="32"/>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6350</wp:posOffset>
            </wp:positionV>
            <wp:extent cx="12687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134620</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6350</wp:posOffset>
            </wp:positionV>
            <wp:extent cx="10801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6350</wp:posOffset>
            </wp:positionV>
            <wp:extent cx="126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2020-07-31T15:33:42Z</dcterms:created>
  <dcterms:modified xsi:type="dcterms:W3CDTF">2020-07-31T15:33:42Z</dcterms:modified>
</cp:coreProperties>
</file>