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980" w:hanging="531"/>
        <w:spacing w:after="0"/>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0" w:lineRule="exact"/>
        <w:rPr>
          <w:rFonts w:ascii="Times New Roman" w:cs="Times New Roman" w:eastAsia="Times New Roman" w:hAnsi="Times New Roman"/>
          <w:sz w:val="17"/>
          <w:szCs w:val="17"/>
          <w:color w:val="auto"/>
        </w:rPr>
      </w:pPr>
    </w:p>
    <w:p>
      <w:pPr>
        <w:ind w:left="3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37"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For the transition period from _________________ to______________________</w:t>
      </w:r>
    </w:p>
    <w:p>
      <w:pPr>
        <w:spacing w:after="0" w:line="225"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0-422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MIDDLESEX WATER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6" w:right="239" w:bottom="1440" w:gutter="0" w:footer="0" w:header="0"/>
        </w:sectPr>
      </w:pPr>
    </w:p>
    <w:p>
      <w:pPr>
        <w:spacing w:after="0" w:line="16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22-1114430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536" w:right="239" w:bottom="1440" w:gutter="0" w:footer="0" w:header="0"/>
          <w:type w:val="continuous"/>
        </w:sect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485C Route One South, Iselin, New Jersey 08830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634-1500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240" w:type="dxa"/>
            <w:vAlign w:val="bottom"/>
            <w:tcBorders>
              <w:bottom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4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Common Stock</w:t>
            </w:r>
          </w:p>
        </w:tc>
        <w:tc>
          <w:tcPr>
            <w:tcW w:w="23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MSEX</w:t>
            </w:r>
          </w:p>
        </w:tc>
        <w:tc>
          <w:tcPr>
            <w:tcW w:w="4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Yes þ</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2"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Yes þ</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420"/>
          </w:cols>
          <w:pgMar w:left="240" w:top="536" w:right="239" w:bottom="1440" w:gutter="0" w:footer="0" w:header="0"/>
          <w:type w:val="continuous"/>
        </w:sectPr>
      </w:pPr>
    </w:p>
    <w:p>
      <w:pPr>
        <w:spacing w:after="0" w:line="147" w:lineRule="exact"/>
        <w:rPr>
          <w:sz w:val="24"/>
          <w:szCs w:val="24"/>
          <w:color w:val="auto"/>
        </w:rPr>
      </w:pPr>
    </w:p>
    <w:p>
      <w:pPr>
        <w:ind w:left="23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28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color w:val="auto"/>
        </w:rPr>
        <w:t>Accelerated filer þ</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58" w:lineRule="exact"/>
        <w:rPr>
          <w:sz w:val="24"/>
          <w:szCs w:val="24"/>
          <w:color w:val="auto"/>
        </w:rPr>
      </w:pPr>
    </w:p>
    <w:p>
      <w:pPr>
        <w:ind w:left="1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5020" w:space="60"/>
            <w:col w:w="6340"/>
          </w:cols>
          <w:pgMar w:left="240" w:top="536" w:right="239" w:bottom="1440" w:gutter="0" w:footer="0" w:header="0"/>
          <w:type w:val="continuous"/>
        </w:sectPr>
      </w:pPr>
    </w:p>
    <w:p>
      <w:pPr>
        <w:spacing w:after="0" w:line="5"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4"/>
          <w:szCs w:val="24"/>
          <w:color w:val="auto"/>
        </w:rPr>
      </w:pPr>
    </w:p>
    <w:p>
      <w:pPr>
        <w:ind w:left="52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þ</w:t>
      </w:r>
    </w:p>
    <w:p>
      <w:pPr>
        <w:spacing w:after="0" w:line="11" w:lineRule="exact"/>
        <w:rPr>
          <w:sz w:val="24"/>
          <w:szCs w:val="24"/>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October 31, 2019: Common Stock, No Par Value: 16,669,540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INDEX</w:t>
            </w:r>
          </w:p>
        </w:tc>
        <w:tc>
          <w:tcPr>
            <w:tcW w:w="480" w:type="dxa"/>
            <w:vAlign w:val="bottom"/>
          </w:tcPr>
          <w:p>
            <w:pPr>
              <w:spacing w:after="0"/>
              <w:rPr>
                <w:sz w:val="20"/>
                <w:szCs w:val="20"/>
                <w:color w:val="auto"/>
              </w:rPr>
            </w:pPr>
          </w:p>
        </w:tc>
      </w:tr>
      <w:tr>
        <w:trPr>
          <w:trHeight w:val="60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FINANCIAL INFORMATION</w:t>
              </w:r>
            </w:hyperlink>
          </w:p>
        </w:tc>
        <w:tc>
          <w:tcPr>
            <w:tcW w:w="7560" w:type="dxa"/>
            <w:vAlign w:val="bottom"/>
            <w:gridSpan w:val="11"/>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4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w:t>
              </w:r>
            </w:hyperlink>
          </w:p>
        </w:tc>
        <w:tc>
          <w:tcPr>
            <w:tcW w:w="460" w:type="dxa"/>
            <w:vAlign w:val="bottom"/>
            <w:tcBorders>
              <w:top w:val="single" w:sz="8" w:color="0000EE"/>
            </w:tcBorders>
          </w:tcPr>
          <w:p>
            <w:pPr>
              <w:spacing w:after="0"/>
              <w:rPr>
                <w:sz w:val="24"/>
                <w:szCs w:val="24"/>
                <w:color w:val="auto"/>
              </w:rPr>
            </w:pPr>
          </w:p>
        </w:tc>
        <w:tc>
          <w:tcPr>
            <w:tcW w:w="656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w:t>
              </w:r>
            </w:hyperlink>
          </w:p>
        </w:tc>
        <w:tc>
          <w:tcPr>
            <w:tcW w:w="624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98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Capital Stock and Long-Term Debt</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980" w:type="dxa"/>
            <w:vAlign w:val="bottom"/>
          </w:tcPr>
          <w:p>
            <w:pPr>
              <w:spacing w:after="0"/>
              <w:rPr>
                <w:sz w:val="24"/>
                <w:szCs w:val="24"/>
                <w:color w:val="auto"/>
              </w:rPr>
            </w:pPr>
          </w:p>
        </w:tc>
        <w:tc>
          <w:tcPr>
            <w:tcW w:w="54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Common Stockholders’ Equity</w:t>
              </w:r>
            </w:hyperlink>
          </w:p>
        </w:tc>
        <w:tc>
          <w:tcPr>
            <w:tcW w:w="456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980" w:type="dxa"/>
            <w:vAlign w:val="bottom"/>
          </w:tcPr>
          <w:p>
            <w:pPr>
              <w:spacing w:after="0"/>
              <w:rPr>
                <w:sz w:val="24"/>
                <w:szCs w:val="24"/>
                <w:color w:val="auto"/>
              </w:rPr>
            </w:pPr>
          </w:p>
        </w:tc>
        <w:tc>
          <w:tcPr>
            <w:tcW w:w="51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Condensed Consolidated Financial Statements</w:t>
              </w:r>
            </w:hyperlink>
          </w:p>
        </w:tc>
        <w:tc>
          <w:tcPr>
            <w:tcW w:w="486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0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of Market Risk</w:t>
              </w:r>
            </w:hyperlink>
          </w:p>
        </w:tc>
        <w:tc>
          <w:tcPr>
            <w:tcW w:w="2380" w:type="dxa"/>
            <w:vAlign w:val="bottom"/>
            <w:tcBorders>
              <w:top w:val="single" w:sz="8" w:color="0000EE"/>
            </w:tcBorders>
            <w:gridSpan w:val="5"/>
          </w:tcPr>
          <w:p>
            <w:pPr>
              <w:spacing w:after="0"/>
              <w:rPr>
                <w:sz w:val="24"/>
                <w:szCs w:val="24"/>
                <w:color w:val="auto"/>
              </w:rPr>
            </w:pPr>
          </w:p>
        </w:tc>
        <w:tc>
          <w:tcPr>
            <w:tcW w:w="35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Controls and Procedures</w:t>
              </w:r>
            </w:hyperlink>
          </w:p>
        </w:tc>
        <w:tc>
          <w:tcPr>
            <w:tcW w:w="818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60" w:type="dxa"/>
            <w:vAlign w:val="bottom"/>
            <w:gridSpan w:val="20"/>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OTHER INFORMATION</w:t>
              </w:r>
            </w:hyperlink>
          </w:p>
        </w:tc>
        <w:tc>
          <w:tcPr>
            <w:tcW w:w="4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794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Defaults upon Senior Securities</w:t>
              </w:r>
            </w:hyperlink>
          </w:p>
        </w:tc>
        <w:tc>
          <w:tcPr>
            <w:tcW w:w="56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Mine Safety Disclosures</w:t>
              </w:r>
            </w:hyperlink>
          </w:p>
        </w:tc>
        <w:tc>
          <w:tcPr>
            <w:tcW w:w="500" w:type="dxa"/>
            <w:vAlign w:val="bottom"/>
            <w:tcBorders>
              <w:top w:val="single" w:sz="8" w:color="0000EE"/>
            </w:tcBorders>
            <w:gridSpan w:val="2"/>
          </w:tcPr>
          <w:p>
            <w:pPr>
              <w:spacing w:after="0"/>
              <w:rPr>
                <w:sz w:val="24"/>
                <w:szCs w:val="24"/>
                <w:color w:val="auto"/>
              </w:rPr>
            </w:pPr>
          </w:p>
        </w:tc>
        <w:tc>
          <w:tcPr>
            <w:tcW w:w="76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Other Information</w:t>
              </w:r>
            </w:hyperlink>
          </w:p>
        </w:tc>
        <w:tc>
          <w:tcPr>
            <w:tcW w:w="8640" w:type="dxa"/>
            <w:vAlign w:val="bottom"/>
            <w:gridSpan w:val="16"/>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36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0940" w:type="dxa"/>
            <w:vAlign w:val="bottom"/>
            <w:gridSpan w:val="21"/>
          </w:tcPr>
          <w:p>
            <w:pPr>
              <w:spacing w:after="0"/>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SIGNATURES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608"/>
        </w:trPr>
        <w:tc>
          <w:tcPr>
            <w:tcW w:w="9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660" w:type="dxa"/>
            <w:vAlign w:val="bottom"/>
            <w:gridSpan w:val="9"/>
          </w:tcPr>
          <w:p>
            <w:pPr>
              <w:ind w:left="118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 Nine Months Ended 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37,769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38,713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101,859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4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17,669</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18,114</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50,569</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4,246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3,792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12,415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Taxes</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3,871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3,889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10,913</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25,786</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25,795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73,897</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11,983</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12,918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27,962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867</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833</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1,888</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1,996</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1,723</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4,984</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10,854</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12,028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24,866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11,119</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12,290</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25,818</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1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14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11,089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12,254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25,716</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0.67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0.66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w:t>
            </w: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16,610</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16,394</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16,520</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16,757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16,550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16,673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80"/>
          </w:cols>
          <w:pgMar w:left="240" w:top="216" w:right="179" w:bottom="1440" w:gutter="0" w:footer="0" w:header="0"/>
        </w:sectPr>
      </w:pPr>
    </w:p>
    <w:bookmarkStart w:id="3" w:name="page4"/>
    <w:bookmarkEnd w:id="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5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Production</w:t>
            </w:r>
          </w:p>
        </w:tc>
        <w:tc>
          <w:tcPr>
            <w:tcW w:w="12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157,970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536,367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80,635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69,651</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844,623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166,873</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UTILITY PLANT - NET</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677,750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3,151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13,407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Unbilled Revenues</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9,417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5,159</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Prepayments</w:t>
            </w: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3,577</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34,711</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CHARGES</w:t>
            </w: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6,133</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OTHER ASSETS:</w:t>
            </w: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Preliminary Survey and Investigation Charges</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Assets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100,320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53,927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Non-utility Assets - Net</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10,306</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1,954</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DEFERRED CHARGES AND OTHER ASSETS</w:t>
            </w: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174,892</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887,353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170,562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105,233</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COMMON EQUITY</w:t>
            </w: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228,272</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506,151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7,161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58,500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Taxes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12,132</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Revenues and Advanced Service Fees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1,048</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3,657</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103,475</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auto"/>
            </w:tcBorders>
            <w:gridSpan w:val="2"/>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7)</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CREDITS</w:t>
            </w: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Advances for Construction</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22,682</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AND OTHER LIABILITIES:  </w:t>
            </w:r>
            <w:r>
              <w:rPr>
                <w:rFonts w:ascii="Times New Roman" w:cs="Times New Roman" w:eastAsia="Times New Roman" w:hAnsi="Times New Roman"/>
                <w:sz w:val="18"/>
                <w:szCs w:val="18"/>
                <w:color w:val="auto"/>
              </w:rPr>
              <w:t>Operating Lease Obligation</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5,908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Deferred Income Taxes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50,947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Benefit Plans</w:t>
            </w: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27,826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Liabilities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72,000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2,567</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181,930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auto"/>
            </w:tcBorders>
            <w:gridSpan w:val="2"/>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1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95,797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12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887,353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767,830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 Financial Statements.</w:t>
      </w:r>
    </w:p>
    <w:p>
      <w:pPr>
        <w:sectPr>
          <w:pgSz w:w="11900" w:h="16838" w:orient="portrait"/>
          <w:cols w:equalWidth="0" w:num="1">
            <w:col w:w="11420"/>
          </w:cols>
          <w:pgMar w:left="240" w:top="216" w:right="239" w:bottom="1440" w:gutter="0" w:footer="0" w:header="0"/>
        </w:sectPr>
      </w:pP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 w:name="page5"/>
    <w:bookmarkEnd w:id="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25,818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12,858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(8,379)</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Portion of Allowance for Funds Used During Construction (AFUDC)</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Revenues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Materials and Supplies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Revenue &amp; Advanced Service Fees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972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23,348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Utility Plant Expenditures, Including AFUDC of $700 in 2019 and $267 in 2018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(61,220)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(61,220)</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of Long-term Debt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82,446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Short-term Bank Borrowings</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Debt Issuance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Issuance Expense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12,449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Common Dividends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Advances and Contributions-Net</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3,480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89,289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51,417</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57,078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Utility Plant received as Construction Advances and Contributions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5,375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Deobligation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FLOWS INFORMATION:</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5,929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Capitalized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6,752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216" w:right="239" w:bottom="1440" w:gutter="0" w:footer="0" w:header="0"/>
        </w:sectPr>
      </w:pP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5" w:name="page6"/>
    <w:bookmarkEnd w:id="5"/>
    <w:p>
      <w:pPr>
        <w:spacing w:after="0" w:line="62" w:lineRule="exact"/>
        <w:rPr>
          <w:sz w:val="20"/>
          <w:szCs w:val="20"/>
          <w:color w:val="auto"/>
        </w:rPr>
      </w:pPr>
    </w:p>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34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CAPITAL STOCK AND LONG-TERM DEBT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6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Authorized -</w:t>
            </w: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40,000</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w:t>
            </w:r>
          </w:p>
        </w:tc>
        <w:tc>
          <w:tcPr>
            <w:tcW w:w="6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2019 - 16,670; 2018 - 16,403</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170,562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6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105,233</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COMMON EQUITY</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Preferred Stock, No Par Value:</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Authorized -</w:t>
            </w:r>
          </w:p>
        </w:tc>
        <w:tc>
          <w:tcPr>
            <w:tcW w:w="6220" w:type="dxa"/>
            <w:vAlign w:val="bottom"/>
            <w:shd w:val="clear" w:color="auto" w:fill="CCEEFF"/>
          </w:tcPr>
          <w:p>
            <w:pPr>
              <w:jc w:val="right"/>
              <w:ind w:right="4450"/>
              <w:spacing w:after="0"/>
              <w:rPr>
                <w:sz w:val="20"/>
                <w:szCs w:val="20"/>
                <w:color w:val="auto"/>
              </w:rPr>
            </w:pPr>
            <w:r>
              <w:rPr>
                <w:rFonts w:ascii="Times New Roman" w:cs="Times New Roman" w:eastAsia="Times New Roman" w:hAnsi="Times New Roman"/>
                <w:sz w:val="18"/>
                <w:szCs w:val="18"/>
                <w:color w:val="auto"/>
              </w:rPr>
              <w:t>2019 - 123; 2018 - 126</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- 2019 - 20; 2018 - 23</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w:t>
            </w:r>
          </w:p>
        </w:tc>
        <w:tc>
          <w:tcPr>
            <w:tcW w:w="6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$7.00 Series - 10</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$8.00 Series - 2019 - 0; 2018 - 3</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Nonredeemable:</w:t>
            </w:r>
          </w:p>
        </w:tc>
        <w:tc>
          <w:tcPr>
            <w:tcW w:w="6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$7.00 Series -  1</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Shares Outstanding, $4.75 Series - 10</w:t>
            </w: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PREFERRED STOCK</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8.05%, Amortizing Secured Note, due December 20, 2021</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6.25%, Amortizing Secured Note, due May 19, 2028</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6.44%, Amortizing Secured Note, due August 25, 2030</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3,057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6.46%, Amortizing Secured Note, due September 19, 2031</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3,337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4.22%, State Revolving Trust Note, due December 31, 2022</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3.60%, State Revolving Trust Note, due May 1, 2025</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3.30% State Revolving Trust Note, due March 1, 2026</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309</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3.49%, State Revolving Trust Note, due January 25, 2027</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4.03%, State Revolving Trust Note, due December 1, 2026</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474</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 to 5.00%, State Revolving Trust Bond, due August 1, 2021</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0.00%, State Revolving Fund Bond, due August 1, 2021</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3.64%, State Revolving Trust Note, due July 1, 2028</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3.64%, State Revolving Trust Note, due January 1, 2028</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3.45%, State Revolving Trust Note, due August 1, 2031</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6.59%, Amortizing Secured Note, due April 20, 2029</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3,343</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7.05%, Amortizing Secured Note, due January 20, 2030</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5.69%, Amortizing Secured Note, due January 20, 2030</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5,299</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4.45%, Amortizing Secured Note, due April 20, 2040</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9,057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4.47%, Amortizing Secured Note, due April 20, 2040</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3,361</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 State Revolving Trust Note, due July 1, 2031</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 State Revolving Trust Note, due February 1, 2036</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1,013</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 State Revolving Trust Note, due November 30, 2030</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0.00% Construction Loans</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38,171</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First Mortgage Bonds:</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Z, due August 1, 2019</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5.25% to 5.75%, Series AA, due August 1, 2019</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BB, due August 1, 2021</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241</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 to 5.00%, Series CC, due August 1, 2021</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EE, due August 1, 2023</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1,455</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3.00% to 5.50%, Series FF, due August 1, 2024</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GG, due August 1, 2026</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633</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 to 5.00%, Series HH, due August 1, 2026</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II, due August 1, 2024</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429</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3.40% to 5.00%, Series JJ, due August 1, 2027</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KK, due August 1, 2028</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 to 5.50%, Series LL, due August 1, 2028</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MM, due August 1, 2030</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1,037</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3.00% to 4.375%, Series NN, due August 1, 2030</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0.00%, Series OO, due August 1, 2031</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1,806</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 to 5.00%, Series PP, due August 1, 2031</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 Series QQ, due October 1, 2023</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9,915</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3.80%, Series RR, due October 1, 2038</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4.25%, Series SS, due October 1, 2047</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23,000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TT, due August 1, 2032</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 to 3.25%, Series UU, due August 1, 2032</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755</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VV, due August 1, 2033</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3.00% to 5.00%, Series WW, due August 1, 2033</w:t>
            </w:r>
          </w:p>
        </w:tc>
        <w:tc>
          <w:tcPr>
            <w:tcW w:w="1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755</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 Series XX, due August 1, 2047</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10,627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3.00% to 5.00%, Series YY, due August 1, 2047</w:t>
            </w:r>
          </w:p>
        </w:tc>
        <w:tc>
          <w:tcPr>
            <w:tcW w:w="1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3,785</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bl>
    <w:p>
      <w:pPr>
        <w:sectPr>
          <w:pgSz w:w="11900" w:h="16900" w:orient="portrait"/>
          <w:cols w:equalWidth="0" w:num="1">
            <w:col w:w="11420"/>
          </w:cols>
          <w:pgMar w:left="240" w:top="216"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0.00%, Series 2018A, due August 1, 2047</w:t>
            </w:r>
          </w:p>
        </w:tc>
        <w:tc>
          <w:tcPr>
            <w:tcW w:w="27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6,678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6,917</w:t>
            </w:r>
          </w:p>
        </w:tc>
      </w:tr>
      <w:tr>
        <w:trPr>
          <w:trHeight w:val="216"/>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3.00%-5.00%, Series 2018B, due August 1, 2047</w:t>
            </w:r>
          </w:p>
        </w:tc>
        <w:tc>
          <w:tcPr>
            <w:tcW w:w="27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2,320</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r>
      <w:tr>
        <w:trPr>
          <w:trHeight w:val="21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4.00%, Series 2019A, due August 1, 2059</w:t>
            </w:r>
          </w:p>
        </w:tc>
        <w:tc>
          <w:tcPr>
            <w:tcW w:w="27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32,500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5.00%, Series 2019B, due August 1, 2059</w:t>
            </w:r>
          </w:p>
        </w:tc>
        <w:tc>
          <w:tcPr>
            <w:tcW w:w="2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21,200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 LONG-TERM DEBT</w:t>
            </w:r>
          </w:p>
        </w:tc>
        <w:tc>
          <w:tcPr>
            <w:tcW w:w="27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231,820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162,904</w:t>
            </w:r>
          </w:p>
        </w:tc>
      </w:tr>
      <w:tr>
        <w:trPr>
          <w:trHeight w:val="216"/>
        </w:trPr>
        <w:tc>
          <w:tcPr>
            <w:tcW w:w="6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 Premium on Issuance of Long-term Debt</w:t>
            </w:r>
          </w:p>
        </w:tc>
        <w:tc>
          <w:tcPr>
            <w:tcW w:w="27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8,164</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Less: Unamortized Debt Expense</w:t>
            </w:r>
          </w:p>
        </w:tc>
        <w:tc>
          <w:tcPr>
            <w:tcW w:w="27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16"/>
        </w:trPr>
        <w:tc>
          <w:tcPr>
            <w:tcW w:w="6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10"/>
        </w:trPr>
        <w:tc>
          <w:tcPr>
            <w:tcW w:w="63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27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228,272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152,851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Common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Stock</w:t>
            </w: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Retained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2018</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 2018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156,251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79,826</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Forfeited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 ($0.2238 per share)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155,120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74,055</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Forfeited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 ($0.6713 per share)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156,741</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2019</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98,146</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Forefeited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of $8.00 Convertible Preferred Stock</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 ($0.2400 per share)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Expenses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170,562</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105,233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157,354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91,433</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Net - Employees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Forefeited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$8.00 Convertible Preferred Stock</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on Common Stock ($0.7200 per share)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Expenses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170,562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8" w:name="page9"/>
    <w:bookmarkEnd w:id="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financial statements for Middlesex and its wholly-owned subsidiaries (the Company) are reported on a consolidated basis. All significant intercompany accounts and transactions have been eliminated.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notes within the 2018 Annual Report on Form 10-K (2018 Form 10-K) are applicable to these financial statements and, in the opinion of the Company, the accompanying unaudited condensed consolidated financial statements contain all adjustments necessary (including normal recurring accruals) to present fairly the financial position as of September 30, 2019 and the results of operations and cash flows for the three month and nine month periods ended September 30, 2019 and 2018. Information included in the Condensed Consolidated Balance Sheet as of December 31, 2018, has been derived from the Company’s audited financial statements for the year ended December 31, 2018 included in the 2018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to Acquire Water Systems </w:t>
      </w:r>
      <w:r>
        <w:rPr>
          <w:rFonts w:ascii="Times New Roman" w:cs="Times New Roman" w:eastAsia="Times New Roman" w:hAnsi="Times New Roman"/>
          <w:sz w:val="18"/>
          <w:szCs w:val="18"/>
          <w:color w:val="auto"/>
        </w:rPr>
        <w:t>- On October 8, 2019, the Delaware Public Service Commission (DEPSC) approved Tidewater’s request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water utility assets of J.H. Wilkerson and Son, Inc. and transfer the Certificate of Public Convenience and Necessity in order for Tidewater to serve the approximate 1,000 customers currently connected to eight community water systems located mostly in eastern Sussex County, Delaware. The DEPSC also authorized Tidewater to maintain the existing rates that these customers currently pay. The transaction is expected to close in the fourth quarter of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On January 1, 2019, the Company adopted Financial Accounting Standards Board (FASB) issued guidance related to leases which required lessees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recognize a lease liability and a right-of-use asset. The Company elected the optional transition method of adoption option to apply the requirements of the standard in the period of adoption with no restatement of prior periods. The Company utilized the package of transition practical expedients provided by the new guidance, including carrying forward prior conclusions related to contracts that contain leases and lease classification. The Company also utilized the transition practical expedient permitting entities to forgo the evaluation of existing land easement arrangements to determine if they contain a lease. Land easement arrangements, or modifications to existing arrangements, entered into after adoption of this guidance will need to be evaluated to determine if they meet the definition of a lease. The adoption of this guidance resulted in the recording of a $6.7 million right-of-use asset, a $7.1 million lease liability and a $0.4 million regulatory asset on the Company’s consolidated balance sheet as of January 1, 2019. For further discussion, see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new adopted or proposed accounting guidance that the Company is aware of that could have a material impact on the Company’s financial statements.</w:t>
      </w: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9" w:name="page10"/>
    <w:bookmarkEnd w:id="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Rate and Regulatory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Middlesex – </w:t>
      </w:r>
      <w:r>
        <w:rPr>
          <w:rFonts w:ascii="Times New Roman" w:cs="Times New Roman" w:eastAsia="Times New Roman" w:hAnsi="Times New Roman"/>
          <w:sz w:val="18"/>
          <w:szCs w:val="18"/>
          <w:color w:val="auto"/>
        </w:rPr>
        <w:t>In December 2018, the New Jersey Board of Public Utilities (NJBPU) approved Middlesex’s petition to establish its Purchased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Clause (PWAC) tariff rate to recover additional annual costs of less than $0.1 million, primarily for the purchase of treated water from a non-affiliated water utility regulated by the NJBPU. A PWAC is a rate mechanism that allows for recovery of increased purchased water costs between base rate case filings. The PWAC is reset to zero once those increased costs are included in base rates. The PWAC tariff rate became effective on January 1, 2019.</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Tidewater - </w:t>
      </w:r>
      <w:r>
        <w:rPr>
          <w:rFonts w:ascii="Times New Roman" w:cs="Times New Roman" w:eastAsia="Times New Roman" w:hAnsi="Times New Roman"/>
          <w:sz w:val="18"/>
          <w:szCs w:val="18"/>
          <w:color w:val="auto"/>
        </w:rPr>
        <w:t>Effective July 1, 2019, Tidewater reset its DEPSC approved Distribution System Improvement Charge rate, which is expected to generate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of approximately $0.5 million annually.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2019, Tidewater received approval from the DEPSC to reduce its rates, effective March 1, 2019, to reflect the lower corporate income tax rate enacted by the Tax Cuts and Jobs Act of 2017 (Tax Act), resulting in an overall rate decrease of 3.35%, or $1.0 million of revenues, on an annual basis. The DEPSC also approved a one-time credit of $0.7 million to customers’ accounts related to the lower corporate income tax rate.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Pinelands - </w:t>
      </w:r>
      <w:r>
        <w:rPr>
          <w:rFonts w:ascii="Times New Roman" w:cs="Times New Roman" w:eastAsia="Times New Roman" w:hAnsi="Times New Roman"/>
          <w:sz w:val="18"/>
          <w:szCs w:val="18"/>
          <w:color w:val="auto"/>
        </w:rPr>
        <w:t>On October 25, 2019, Pinelands Water and Pinelands Wastewater concluded their base rate case matters when the NJBPU approved a $0.5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increase in annual base rates, effective November 4, 2019. In March 2019, Pinelands Water and Pinelands Wastewater had filed petitions with the NJBPU seeking permission to increase base rates by approximately $0.7 million per year. The requests were necessitated by capital infrastructure investments both companies had made, and increased operations and maintenance costs.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Twin Lakes - </w:t>
      </w:r>
      <w:r>
        <w:rPr>
          <w:rFonts w:ascii="Times New Roman" w:cs="Times New Roman" w:eastAsia="Times New Roman" w:hAnsi="Times New Roman"/>
          <w:sz w:val="18"/>
          <w:szCs w:val="18"/>
          <w:color w:val="auto"/>
        </w:rPr>
        <w:t>In July 2019, Twin Lakes filed a petition with the Pennsylvania Public Utilities Commission (PAPUC) seeking permission to increase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by approximately $0.2 million per year. This request was necessitated by capital infrastructure investments Twin Lakes has made and increased operations and maintenance costs. We cannot predict whether the PAPUC will ultimately approve, deny, or reduce the amount of the request. A decision by the PAPUC is not expected before the first quarter of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Capitalization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During the nine months ended September 30, 2019 and 2018, there were 221,558 common shares ($12.4 million) and 21,001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(approximately $0.9 million), respectively, issued under the Middlesex Water Company Investment Plan (Investment Plan). On January 2, 2019, the Company began offering shares of its common stock for purchase at a 5% discount to participants in the Investment Plan. In August 2019, the 200,000 share purchase limit established for the 5% discount program was reached and the program was concluded.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2019, the Company determined it had inadvertently sold shares of its common stock through the Investment Plan from August 1, 2018 through September 3, 2019 (Eligible Period) after the registration statement covering sales through the Investment Plan had expired and therefore was no longer effective. Under applicable federal securities laws, participants in the Investment Plan who purchased shares of common stock have a right to rescind their Eligible Period purchases and require the Company to repurchase these shares for an amount equal to the price paid by the participant, less any dividends paid on the purchased shares, plus interest.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2019, the Company’s Board of Directors approved a plan to voluntarily offer a right of rescission (Rescission Offer) to Investment Plan participants who purchased shares of the Company’s common stock during the Eligible Period. During the Eligible Period, Investment Plan participants purchased 232,643 shares at an average price of $55.79 per share.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11, 2019, the Company filed a supplement to the Investment Plan prospectus (Prospectus Supplement) with the United States Securities and Exchange Commission registering both the Rescission Offer and the 232,643 shares sold during the Eligible Period and notifying eligible Investment Plan participants of the specific details of the Rescission Offer. Investment Plan participants have thirty (30) days from the notification date to decide to accept or reject the Rescission Offer. Based on the current market price of the Company’s common stock, the Company does not expect that the exercise of any applicable rescission rights under the Rescission Offer by participants will have a material impact on its results of operations, financial condition or liquidity.</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0" w:name="page11"/>
    <w:bookmarkEnd w:id="1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3,000 shares (approximately $0.3 million) of the Company’s no par $8.00 Series Cumulative and Convertible Preferred Stock were converted into 41,142 shares of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2019, Middlesex received approval from the NJBPU to issue and sell up to 1,500,000 shares of its common stock in one or more transactions through December 31, 2022. Sales of additional shares of common stock are part of the Company’s comprehensive financing plan to fund its multi-year utility plant infrastructure investment program. As described below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NJBPU approved the New Jersey Economic Development Authority (NJEDA) debt funding component of the financing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Subject to regulatory approval, the Company periodically issues long-term debt to fund its investments in utility plant and other assets.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current interest rate on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current term of the long-term loans offered through the NJIB is up to thirty years. The current portion of the principal balance having a stated interest rate of zero percent (0%) is 75% with the remaining portion of 25% having a market based interest rate.</w:t>
      </w:r>
    </w:p>
    <w:p>
      <w:pPr>
        <w:spacing w:after="0" w:line="19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NJIB generally schedules its long-term debt financings in May and November. Middlesex currently has two projects that are in the construction loan phase of New Jersey SRF program:</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2018, the NJBPU approved Middlesex’s request to participate in the NJIB loan program to fund the construction of a large-diameter transmission pipeline from the CJO water treatment plant and interconnect with our distribution system. Middlesex closed on a $43.5 million NJIB interest-free construction loan in August 2018. Through September 30, 2019, Middlesex has drawn a total of $30.2 million and expects to draw down the remaining proceeds through the first quarter of 2020.</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the NJBPU approved Middlesex’s request to participate in the NJIB loan program to fund the 2018 RENEW Program, which is an ongoing initiative to eliminate all unlined water distribution mains in the Middlesex system. Middlesex closed on an $8.7 million NJIB construction loan in September 2018. Through September 30, 2019, Middlesex has drawn a total of $8.0 million and drew the remaining proceeds in October 2019.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that the large-diameter transmission pipeline and the 2018 RENEW construction loans will be included in the NJIB May 2020 long-term debt financing program.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2018, Middlesex repaid its RENEW 2017 interest-free construction loan by issuing to the NJIB first mortgage bonds in the amount of $9.5 million designated as Series 2018A ($7.1 million) and Series 2018B ($2.4 million). The interest rate on the Series 2018A bond is zero and the interest rate on the Series 2018B bond ranges between 3.0% and 5.0%. The final maturity date for both bonds is August 1, 2047, with scheduled debt service payments over the life of the loans.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1" w:name="page12"/>
    <w:bookmarkEnd w:id="1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2019, the NJIB de-obligated principal payments of $0.1 million on Series NN of the Company’s First Mortgage Bonds.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help ensure adherence to its comprehensive financing plan, Middlesex received approval from the NJBPU in February 2019 to issue and sell up to $140 million of First Mortgage Bonds (FMB) through the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2019, Middlesex priced and closed on a NJEDA debt financing transaction of $53.7 million by issuing FMBs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is held in escrow by a bond trustee and are drawn down by requisition for the qualifying projects. Through September 30, 2019, Middlesex has drawn a total of $7.6 million and currently expects to draw the remaining $53.2 million of proceeds, currently included in Restricted Cash, through the third quarter of 2021.</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and immediately began drawing on the combined loan amount with expected draws continuing through the first quarter of 2020.</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following methods and assumptions were used by the Company in estimating its fair value disclosure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FMB and State Revolving Fund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41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September 30, 2019</w:t>
            </w:r>
          </w:p>
        </w:tc>
        <w:tc>
          <w:tcPr>
            <w:tcW w:w="29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16"/>
        </w:trPr>
        <w:tc>
          <w:tcPr>
            <w:tcW w:w="2000" w:type="dxa"/>
            <w:vAlign w:val="bottom"/>
          </w:tcPr>
          <w:p>
            <w:pPr>
              <w:spacing w:after="0"/>
              <w:rPr>
                <w:sz w:val="18"/>
                <w:szCs w:val="18"/>
                <w:color w:val="auto"/>
              </w:rPr>
            </w:pPr>
          </w:p>
        </w:tc>
        <w:tc>
          <w:tcPr>
            <w:tcW w:w="26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Carrying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Fair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Carrying</w:t>
            </w:r>
          </w:p>
        </w:tc>
        <w:tc>
          <w:tcPr>
            <w:tcW w:w="1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2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Amount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Bonds</w:t>
            </w:r>
          </w:p>
        </w:tc>
        <w:tc>
          <w:tcPr>
            <w:tcW w:w="260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$151,361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$154,355</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$101,411</w:t>
            </w:r>
          </w:p>
        </w:tc>
        <w:tc>
          <w:tcPr>
            <w:tcW w:w="13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$102,789</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and “Construction Loans” on the Condensed Consolidated Statements of Capital Stock and Long-Term Debt). The carrying amount of these instruments was $80.5 million and $61.5 million at September 30, 2019 and December 31, 2018, respectively. Customer advances for construction have carrying amounts of $22.7 million and $22.6 million at September 30, 2019 and December 31, 2018, respectively. Their relative fair values cannot be accurately estimated since future refund payments depend on several variables, including new customer connections, customer consumption levels and future rate increases.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2" w:name="page13"/>
    <w:bookmarkEnd w:id="1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Basic earnings per share (EPS) are computed on the basis of the weighted average number of shares outstanding during the period presented. Diluted EPS assumes the conversion of both the Convertible Preferred Stock $7.00 Series and the Convertible Preferred Stock $8.00 Series.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11,119</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16,610</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12,290</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11,089</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12,254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0.67</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0.75</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11,089</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12,254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$8.00 Series Preferred Dividend</w:t>
            </w: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11,106</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16,757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12,277</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0.66</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0.74</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4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25,818</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16,520</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25,459</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25,716</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25,351</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1.55</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25,716</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25,351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$8.00 Series Preferred Dividend</w:t>
            </w: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25,778</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25,419</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1.55</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1.54</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Business Segment Data</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New Jersey, Delaware and Pennsylvania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3" w:name="page14"/>
    <w:bookmarkEnd w:id="1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c>
          <w:tcPr>
            <w:tcW w:w="23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 by Segments: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93,342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4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9,032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37,769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38,713</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101,859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104,809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24,937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3,025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27,962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2,118</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25,818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Regulated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60,998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61,220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49,518</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As of</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4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886,280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764,749</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 – Regulated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9,593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8,994</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4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887,353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767,830</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-711200</wp:posOffset>
            </wp:positionV>
            <wp:extent cx="17322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280" cy="14605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-427990</wp:posOffset>
            </wp:positionV>
            <wp:extent cx="17322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1371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-153670</wp:posOffset>
            </wp:positionV>
            <wp:extent cx="17322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2280" cy="14605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Short-term Borrowings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retained lines of credit aggregating $120.0 million, an increase of $20.0 million from June 30, 2019. In October 2019, the Company increased its lines of credit to $140.0 million. At September 30, 2019, the outstanding borrowings under these credit lines were $58.5 million at a weighted average interest rate of 3.06%.</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4" w:name="page15"/>
    <w:bookmarkEnd w:id="1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daily amounts of borrowings outstanding under the Company’s credit lines and the weighted average interest rates on those amounts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8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80" w:type="dxa"/>
            <w:vAlign w:val="bottom"/>
          </w:tcPr>
          <w:p>
            <w:pPr>
              <w:spacing w:after="0"/>
              <w:rPr>
                <w:sz w:val="18"/>
                <w:szCs w:val="18"/>
                <w:color w:val="auto"/>
              </w:rPr>
            </w:pPr>
          </w:p>
        </w:tc>
        <w:tc>
          <w:tcPr>
            <w:tcW w:w="23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4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2018</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Amounts Outstanding</w:t>
            </w:r>
          </w:p>
        </w:tc>
        <w:tc>
          <w:tcPr>
            <w:tcW w:w="1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58,259</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43,402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56,881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34,332</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Rates</w:t>
            </w:r>
          </w:p>
        </w:tc>
        <w:tc>
          <w:tcPr>
            <w:tcW w:w="19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5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3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maturity dates for the $58.5 million outstanding as of September 30, 2019 are in October 2019 through December 2019 and are extendable at the discretion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for short-term borrowings under the lines of credit are below the prime rate with no requirement for compensating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Water Supply </w:t>
      </w:r>
      <w:r>
        <w:rPr>
          <w:rFonts w:ascii="Times New Roman" w:cs="Times New Roman" w:eastAsia="Times New Roman" w:hAnsi="Times New Roman"/>
          <w:sz w:val="18"/>
          <w:szCs w:val="18"/>
          <w:color w:val="auto"/>
        </w:rPr>
        <w:t>- Middlesex has an agreement with the New Jersey Water Supply Authority (NJWSA) for the purchase of untreated water through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Middlesex also has an agreement with a non-affiliated regulated water utility for the purchase of treated water. This agreement, which expires February 27, 2021, provides for the minimum purchase of 3.0 mgd of treated water with provisions for additional purchases.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contracts with the City of Dover, Delaware to purchase 15.0 million gallons of treated water annually.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water costs are shown below:</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2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spacing w:after="0"/>
              <w:rPr>
                <w:sz w:val="18"/>
                <w:szCs w:val="18"/>
                <w:color w:val="auto"/>
              </w:rPr>
            </w:pPr>
          </w:p>
        </w:tc>
        <w:tc>
          <w:tcPr>
            <w:tcW w:w="21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Treated</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Untreated</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part of an agreement with the County of Monmouth, New Jersey (County), Middlesex serves as guarantor of the performance of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Management, Inc. (AWM), an unaffiliated wastewater contractor, to operate a County-owned leachate pretreatment facility at the Monmouth County Reclamation Center in Tinton Falls, New Jersey. The performance guaranty is effective through 2028 unless another guarantor, acceptable to the County, replaces Middlesex before such date. Under agreements with AWM and Natural Systems Utilities, LLC (NSU), the parent company of AWM, Middlesex earns a fee for providing the performance guaranty. In addition, Middlesex may provide operational support to the facility, as needed, and AWM and NSU, serving as guarantor to Middlesex with respect to the performance of AWM, have indemnified Middlesex against any claims that may arise under the Middlesex guaranty to the County.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required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As of September 30, 2019 and December 31, 2018, the liability recognized in Other Non-Current Liabilities on the balance sheet for the guaranty is approximately $1.4 million and $1.5 million, respectively.</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5" w:name="page16"/>
    <w:bookmarkEnd w:id="1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determines if an arrangement is a lease at inception. Generally, a lease agreement exists if the Company determines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gives the Company control over the use of an identified asset and obtains substantially all of the benefits from the identified asset.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impacts of accounting for regulated operations, and the resulting recognition of expense at the amounts recovered in customer rates, expenditures for operating leases are consistent with lease expense and was $0.2 million for each of the three months ended September 30, 2019 and 2018, respectively, and $0.5 million and $0.3 million for the nine months ended September 30, 2019 and 2018, respectively.</w:t>
      </w:r>
    </w:p>
    <w:p>
      <w:pPr>
        <w:sectPr>
          <w:pgSz w:w="11900" w:h="16838" w:orient="portrait"/>
          <w:cols w:equalWidth="0" w:num="1">
            <w:col w:w="11420"/>
          </w:cols>
          <w:pgMar w:left="240" w:top="216"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operating lease ROU assets and lease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ROU Asset at Lease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Current ROU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operating lease commitments as of September 30, 2019 are as follows: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Millions)</w:t>
            </w:r>
          </w:p>
        </w:tc>
      </w:tr>
      <w:tr>
        <w:trPr>
          <w:trHeight w:val="216"/>
        </w:trPr>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4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0.8</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0.8</w:t>
            </w:r>
          </w:p>
        </w:tc>
        <w:tc>
          <w:tcPr>
            <w:tcW w:w="80" w:type="dxa"/>
            <w:vAlign w:val="bottom"/>
            <w:shd w:val="clear" w:color="auto" w:fill="CCEEFF"/>
          </w:tcPr>
          <w:p>
            <w:pPr>
              <w:spacing w:after="0"/>
              <w:rPr>
                <w:sz w:val="18"/>
                <w:szCs w:val="18"/>
                <w:color w:val="auto"/>
              </w:rPr>
            </w:pPr>
          </w:p>
        </w:tc>
      </w:tr>
      <w:tr>
        <w:trPr>
          <w:trHeight w:val="216"/>
        </w:trPr>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0.8</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0.8</w:t>
            </w:r>
          </w:p>
        </w:tc>
        <w:tc>
          <w:tcPr>
            <w:tcW w:w="80" w:type="dxa"/>
            <w:vAlign w:val="bottom"/>
            <w:shd w:val="clear" w:color="auto" w:fill="CCEEFF"/>
          </w:tcPr>
          <w:p>
            <w:pPr>
              <w:spacing w:after="0"/>
              <w:rPr>
                <w:sz w:val="18"/>
                <w:szCs w:val="18"/>
                <w:color w:val="auto"/>
              </w:rPr>
            </w:pPr>
          </w:p>
        </w:tc>
      </w:tr>
      <w:tr>
        <w:trPr>
          <w:trHeight w:val="230"/>
        </w:trPr>
        <w:tc>
          <w:tcPr>
            <w:tcW w:w="4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5.2</w:t>
            </w:r>
          </w:p>
        </w:tc>
        <w:tc>
          <w:tcPr>
            <w:tcW w:w="80" w:type="dxa"/>
            <w:vAlign w:val="bottom"/>
            <w:tcBorders>
              <w:bottom w:val="single" w:sz="8" w:color="CCEEFF"/>
            </w:tcBorders>
          </w:tcPr>
          <w:p>
            <w:pPr>
              <w:spacing w:after="0"/>
              <w:rPr>
                <w:sz w:val="19"/>
                <w:szCs w:val="19"/>
                <w:color w:val="auto"/>
              </w:rPr>
            </w:pPr>
          </w:p>
        </w:tc>
      </w:tr>
      <w:tr>
        <w:trPr>
          <w:trHeight w:val="210"/>
        </w:trPr>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8.6</w:t>
            </w:r>
          </w:p>
        </w:tc>
        <w:tc>
          <w:tcPr>
            <w:tcW w:w="80" w:type="dxa"/>
            <w:vAlign w:val="bottom"/>
            <w:shd w:val="clear" w:color="auto" w:fill="CCEEFF"/>
          </w:tcPr>
          <w:p>
            <w:pPr>
              <w:spacing w:after="0"/>
              <w:rPr>
                <w:sz w:val="18"/>
                <w:szCs w:val="18"/>
                <w:color w:val="auto"/>
              </w:rPr>
            </w:pPr>
          </w:p>
        </w:tc>
      </w:tr>
      <w:tr>
        <w:trPr>
          <w:trHeight w:val="230"/>
        </w:trPr>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Imputed Interest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(2.0)</w:t>
            </w:r>
          </w:p>
        </w:tc>
      </w:tr>
      <w:tr>
        <w:trPr>
          <w:trHeight w:val="210"/>
        </w:trPr>
        <w:tc>
          <w:tcPr>
            <w:tcW w:w="4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6.6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 Current Portion*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(0.7)</w:t>
            </w:r>
          </w:p>
        </w:tc>
      </w:tr>
      <w:tr>
        <w:trPr>
          <w:trHeight w:val="210"/>
        </w:trPr>
        <w:tc>
          <w:tcPr>
            <w:tcW w:w="4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5.9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-119380</wp:posOffset>
            </wp:positionV>
            <wp:extent cx="361886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(In Millions)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September 30, 2019</w:t>
      </w:r>
    </w:p>
    <w:p>
      <w:pPr>
        <w:spacing w:after="0" w:line="21" w:lineRule="exact"/>
        <w:rPr>
          <w:sz w:val="20"/>
          <w:szCs w:val="20"/>
          <w:color w:val="auto"/>
        </w:rPr>
      </w:pPr>
    </w:p>
    <w:p>
      <w:pPr>
        <w:ind w:left="1080" w:hanging="1079"/>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ind w:left="1080" w:hanging="1079"/>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823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ectPr>
          <w:pgSz w:w="11900" w:h="16838" w:orient="portrait"/>
          <w:cols w:equalWidth="0" w:num="2">
            <w:col w:w="8580" w:space="280"/>
            <w:col w:w="2560"/>
          </w:cols>
          <w:pgMar w:left="240" w:top="216" w:right="239" w:bottom="1440" w:gutter="0" w:footer="0" w:header="0"/>
          <w:type w:val="continuous"/>
        </w:sectPr>
      </w:pPr>
    </w:p>
    <w:bookmarkStart w:id="16" w:name="page17"/>
    <w:bookmarkEnd w:id="1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 The Company has forecasted to spend approximately $105 million for its construction program in 2019. The Company has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contractual construction agreements that, in the aggregate, obligate it to expend an estimated $68 million in the future. The timing and amount of capital expenditures is dependent on project scheduling and refinement of engineering estimates for certain projects.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 The Company is a defendant in lawsuits in the normal course of business. We believe the resolution of pending claims and legal proceedings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have a material adverse effect on the Company’s consolidated financial statements.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 in Control Agreements </w:t>
      </w:r>
      <w:r>
        <w:rPr>
          <w:rFonts w:ascii="Times New Roman" w:cs="Times New Roman" w:eastAsia="Times New Roman" w:hAnsi="Times New Roman"/>
          <w:sz w:val="18"/>
          <w:szCs w:val="18"/>
          <w:color w:val="auto"/>
        </w:rPr>
        <w:t>- The Company has Change in Control Agreements with certain of its officers that provide compensation and benefits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termination of employment in connection with a change in control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Pension Benefits </w:t>
      </w:r>
      <w:r>
        <w:rPr>
          <w:rFonts w:ascii="Times New Roman" w:cs="Times New Roman" w:eastAsia="Times New Roman" w:hAnsi="Times New Roman"/>
          <w:sz w:val="18"/>
          <w:szCs w:val="18"/>
          <w:color w:val="auto"/>
        </w:rPr>
        <w:t>- The Company’s Pension Plan covers all active employees hired prior to April 1, 2007. Employees hired after March 31, 2007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participate in this plan, but participate in a defined contribution plan that provides for a potential annual contribution in an amount that is at the discretion of the Company. In order to be eligible for a contribution, the participant must be employed by the Company on December 31st of the year to which the contribution relates. For the three months ended September 30, 2019 and 2018, the Company made Pension Plan cash contributions of $1.3 million and $1.1 million, respectively. For each of the nine months ended September 30, 2019 and 2018, the Company made Pension Plan cash contributions of $2.3 million, respectively. The Company expects to make Pension Plan cash contributions of approximately $1.3 million over the remainder of the current year. The Company also maintains an unfunded supplemental retirement benefit plan for certain active and retired Company officers and currently pays $0.4 million in annual benefits to the retired participants.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retirement plan other than pensions (Other Benefits Plan) covers substantially all of its current retired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Employees hired after March 31, 2007 are not eligible to participate in this plan. Coverage includes healthcare and life insurance. For each of the three months ended September 30, 2019 and 2018, the Company made Other Benefits Plan cash contributions of $0.2 million, respectively. For the nine months ended September 30, 2019 and 2018, the Company made Other Benefits Plan cash contributions of $0.6 million and $0.5 million, respectively. The Company expects to make Other Benefits Plan cash contributions of approximately $0.8 million over the remainder of the current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relating to the Company’s periodic costs for its employee retirement benefit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Pension Benefits</w:t>
            </w: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Other Benefits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6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c>
          <w:tcPr>
            <w:tcW w:w="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3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Prior Service Cost (Credit)</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423</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7" w:name="page18"/>
    <w:bookmarkEnd w:id="1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Pension Benefits</w:t>
            </w: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Other Benefits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20" w:type="dxa"/>
            <w:vAlign w:val="bottom"/>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Nine Months Ended September 30,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1,628</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2,570</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2,296</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1,488</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1,213</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Prior Service Cost (Credit)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1,891</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*Service cost is included in Operations and Maintenance expense on Consolidated Statements of Income; all other amounts are included in Other Income/Expense, net.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Recognition from Contracts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and 30 days after the invoice date. The Company recognizes revenue as the water and wastewater services are delivered to customers and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of service provided to Tidewater customers and are recognized as service is provided.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Certain of these contracts continue through 2022 and thus contain remaining performance obligations for which the Company expects to recognize revenue in the future. These contracts also contain termination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operating revenues and accounts receivable are from contracts with customers. The Company records an allowance for doubtful accounts based on historical write-offs combined with an evaluation of current economic conditions within its service territories.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contracts do not contain any significant financing components.</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8" w:name="page19"/>
    <w:bookmarkEnd w:id="1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operating revenues are comprised of the following:</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5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28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5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Regulated Tariff Sales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20,693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19,788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54,453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53,303</w:t>
            </w:r>
          </w:p>
        </w:tc>
      </w:tr>
      <w:tr>
        <w:trPr>
          <w:trHeight w:val="216"/>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4,487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4,418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11,539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11,298</w:t>
            </w: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2,723</w:t>
            </w: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2,868</w:t>
            </w:r>
          </w:p>
        </w:tc>
        <w:tc>
          <w:tcPr>
            <w:tcW w:w="3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7,242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7,869</w:t>
            </w:r>
          </w:p>
        </w:tc>
      </w:tr>
      <w:tr>
        <w:trPr>
          <w:trHeight w:val="216"/>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Fire Protection</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3,100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3,084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9,211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9,045</w:t>
            </w: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3,813</w:t>
            </w: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4,319</w:t>
            </w:r>
          </w:p>
        </w:tc>
        <w:tc>
          <w:tcPr>
            <w:tcW w:w="3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10,582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11,211</w:t>
            </w:r>
          </w:p>
        </w:tc>
      </w:tr>
      <w:tr>
        <w:trPr>
          <w:trHeight w:val="23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Non-Regulated Contract Operations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2,919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4,203</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8,729</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11,983</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37,735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38,680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101,756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104,709</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Regulated Revenues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Non-Regulated Revenues</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37,769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38,713</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101,859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104,809</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its 2014 Federal income tax return, the Company adopted the final Internal Revenue Service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2018, the Company increased its income tax reserve provision to $4.1 million. During the first quarter of 2019, the Company agreed to certain modifications of its accounting method for expenditures that qualify as deductible repairs and the IRS concluded its audit of the Company’s 2014 federal income tax return. The modifications also impacted the Company’s filed 2015, 2016 and 2017 federal income tax returns. In March 2019 and June 2019, the Company paid $0.8 million in income taxes and $0.1 million in interest, respectively, in connection with the conclusion and closing of the 2014 and 2015 tax return audits. As of September 30, 2019, the Company has reduced its income tax reserve provision and interest expense liability to $2.4 million and $0.1 million, respectively. In October 2019, the Company paid $1.9 million in income taxes in connection with the conclusion and closing of the 2016 and 2017 tax return audits.</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9" w:name="page20"/>
    <w:bookmarkEnd w:id="1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2018.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8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financial condition, performance, prospects and earnings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for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rate increases and other regulatory matters, including the recovery of certain costs recorded as regulatory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rates, consumption volumes, service fees, revenues, margins, expenses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cash contributions to fund the Company’s retirement benefit plans, anticipated discount rates and rates of return on retirement benefit plan assets;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pay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environmental laws and regulations and estimations of the materiality of any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reliability of the Company’s equipment, facilities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quality of our water supply.</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general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growth in non-franchised markets to be potentially served by the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supplies of water;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all regulatory requirements with respect to water and wastewater treatment, distribution and collection;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 regulators, including decisions on rate increase requests;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new or modified water and wastewater quality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impacting utility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risks associated with acquisitions and/or privatizations;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pace of residential housing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against the company that could be brought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resources;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quarterly report.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0" w:name="page21"/>
    <w:bookmarkEnd w:id="2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discussion of factors that may affect the Company’s business and results of operations, see Item 1A. - Risk Factors in the Company’s Annual Report on Form 10-K for the fiscal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Middlesex Water Company (Middlesex)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four of our other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approximately 219,000.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Delaware subsidiaries, Tidewater and Southern Shores Water Company, LLC (Southern Shores), provide water services to approximately 47,000 retail customers in New Castle, Kent and Sussex Counties, Delaware. Tidewater’s subsidiary, White Marsh, services approximately 4,000 customers in Delaware and Maryland through various operations and maintenance contracts.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Tidewater Environmental Services, Inc. (TESI) subsidiary provides wastewater services to approximately 3,600 residential retail customers in Sussex Counties, Delaware.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 USA-PA does not manage the billing, collections and customer service functions of Perth Amboy.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1" w:name="page22"/>
    <w:bookmarkEnd w:id="2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Pennsylvania subsidiary, Twin Lakes, provides water services to approximately 120 retail customers in the Township of Shohola, Pike County,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333333"/>
        </w:rPr>
        <w:t xml:space="preserve">Capital Construction Program - </w:t>
      </w:r>
      <w:r>
        <w:rPr>
          <w:rFonts w:ascii="Times New Roman" w:cs="Times New Roman" w:eastAsia="Times New Roman" w:hAnsi="Times New Roman"/>
          <w:sz w:val="18"/>
          <w:szCs w:val="18"/>
          <w:color w:val="000000"/>
        </w:rPr>
        <w:t>The Company’s multi-year capital construction program, Water for Tomorrow, encompasses numerous projects designed to</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000000"/>
        </w:rPr>
        <w:t>upgrade and replace utility infrastructure as well as enhance the integrity and reliability of assets to better serve the current and future generations of water and wastewater customers. The Company plans to invest approximately $105 million in 2019 in connection with this plan for projects that include, but are not limited to;</w:t>
      </w: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4.6 mile water transmission pipeline to provide critical resiliency and redundancy to the Company’s water transmission system in New Jersey;</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four miles of water mains including service lines, valves, fire hydrants and meters in Carteret, New Jersey;</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treatment process at the Company’s largest water plant in Edison Township, New Jersey, to mitigate the formation of disinfection by-products that can develop during treatment;</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water meters from inside customers’ premises to exterior meter pits to allow quicker access by crews in emergencies, to enhance customer safety and convenience and to reduce unmetered water; and</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standby emergency power generation.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Pinelands’ Base Rate Increases Approved – </w:t>
      </w:r>
      <w:r>
        <w:rPr>
          <w:rFonts w:ascii="Times New Roman" w:cs="Times New Roman" w:eastAsia="Times New Roman" w:hAnsi="Times New Roman"/>
          <w:sz w:val="18"/>
          <w:szCs w:val="18"/>
          <w:color w:val="auto"/>
        </w:rPr>
        <w:t>On October 25, 2019, Pinelands Water and Pinelands Wastewater concluded their base rate matters when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Jersey Board of Public Utilities (NJBPU) approved a $0.5 million increase in annual base rates, effective November 4, 2019. In March 2019, Pinelands Water and Pinelands Wastewater had filed petitions with the NJBPU seeking permission to increase base rates by approximately $0.7 million per year. The requests were necessitated by capital infrastructure investments both companies had made and increased operations and maintenance costs.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to Acquire Water Systems </w:t>
      </w:r>
      <w:r>
        <w:rPr>
          <w:rFonts w:ascii="Times New Roman" w:cs="Times New Roman" w:eastAsia="Times New Roman" w:hAnsi="Times New Roman"/>
          <w:sz w:val="18"/>
          <w:szCs w:val="18"/>
          <w:color w:val="auto"/>
        </w:rPr>
        <w:t>- On October 8, 2019, the Delaware Public Service Commission (DEPSC) approved Tidewater’s request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water utility assets of J.H. Wilkerson and Son, Inc. and transfer the Certificate of Public Convenience and Necessity in order for Tidewater to serve the approximate 1,000 customers currently connected to eight community water systems located mostly in eastern Sussex County, Delaware. The DEPSC also authorized Tidewater to maintain the existing rates that these customers currently pay. The transaction is expected to close in the fourth quarter of 2019.</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Middlesex Issues $53.7 Million of First Mortgage Bonds - </w:t>
      </w:r>
      <w:r>
        <w:rPr>
          <w:rFonts w:ascii="Times New Roman" w:cs="Times New Roman" w:eastAsia="Times New Roman" w:hAnsi="Times New Roman"/>
          <w:sz w:val="18"/>
          <w:szCs w:val="18"/>
          <w:color w:val="auto"/>
        </w:rPr>
        <w:t>As part of the Company’s comprehensive financing plan to fund its Water for Tomorrow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program, in August 2019, Middlesex priced and closed on a New Jersey Economic Development Authority debt financing transaction of $53.7 million by issuing First Mortgage Bonds designated as Series 2019A ($32.5 million at coupon interest rate of 4.0%) and Series 2019B ($21.2 million at coupon interest rate of 5.0%). The proceeds, including an issuance premium of $7.1 million, are being used to finance several projects, including certain of the projects noted above. Through September 30, 2019, Middlesex has drawn a total of $7.6 million from the proceeds and expects to draw the remaining $53.2 million through the third quarter of 2021.</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Twin Lakes Files for Rate Increase - </w:t>
      </w:r>
      <w:r>
        <w:rPr>
          <w:rFonts w:ascii="Times New Roman" w:cs="Times New Roman" w:eastAsia="Times New Roman" w:hAnsi="Times New Roman"/>
          <w:sz w:val="18"/>
          <w:szCs w:val="18"/>
          <w:color w:val="auto"/>
        </w:rPr>
        <w:t>In July 2019, Twin Lakes filed a petition with the Pennsylvania Public Utilities Commission (PAPUC)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permission to increase base rates by approximately $0.2 million per year. This request was necessitated by capital infrastructure investments Twin Lakes has made and increased operations and maintenance costs. We cannot predict whether the PAPUC will ultimately approve, deny, or reduce the amount of the request. A decision by the PAPUC is not expected before the first quarter of 2020.</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2" w:name="page23"/>
    <w:bookmarkEnd w:id="2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Middlesex Receives Financing Approval - </w:t>
      </w:r>
      <w:r>
        <w:rPr>
          <w:rFonts w:ascii="Times New Roman" w:cs="Times New Roman" w:eastAsia="Times New Roman" w:hAnsi="Times New Roman"/>
          <w:sz w:val="18"/>
          <w:szCs w:val="18"/>
          <w:color w:val="auto"/>
        </w:rPr>
        <w:t>In May 2019, the NJBPU approved Middlesex’s petition with the NJBPU seeking approval to issue and sell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1,500,000 shares of its common stock in one or more transactions through December 31, 2022. Sales of additional shares of common stock are also part of the Company’s comprehensive financing plan to fund its multi-year utility plant infrastructure investment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increase operating income and net income is based significantly on four factors: weather, adequate and timely rate relief, effective cost management and customer growth (which are evident in comparison discussions in the Results of Operations section below). Revenues in the first quarter of 2019 were favorably impacted by Middlesex’s April 2018 base water rate increase. Weather patterns experienced in 2017 and 2018, which resulted in lower customer demand for water, have continued to occur in 2019 and have impacted revenues and net income. Actuarially-determined non-service retirement benefit plan costs are expected to increase in 2019.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residential customer growth through September 2019 has been consistent with that experienced in recent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adequate recovery of infrastructure investments and other costs to maintain service quality;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acquisitions of investor and municipally-owned water and wastewater utilities;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municipal and industrial water and wastewater systems on a contract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projects, products and services that complement our core water and wastewater competencies.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levels of service. Rates and levels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segments in the tables included below consist of the following companies: Regulated-Middlesex, Tidewater, Pinelands, Southern Shores, TESI and Twin Lakes; Non-Regulated-USA, USA-PA, and White Marsh.</w:t>
      </w: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3" w:name="page24"/>
    <w:bookmarkEnd w:id="2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60" w:type="dxa"/>
            <w:vAlign w:val="bottom"/>
          </w:tcPr>
          <w:p>
            <w:pPr>
              <w:spacing w:after="0"/>
              <w:rPr>
                <w:sz w:val="20"/>
                <w:szCs w:val="20"/>
                <w:color w:val="auto"/>
              </w:rPr>
            </w:pPr>
          </w:p>
        </w:tc>
        <w:tc>
          <w:tcPr>
            <w:tcW w:w="2860" w:type="dxa"/>
            <w:vAlign w:val="bottom"/>
            <w:gridSpan w:val="8"/>
          </w:tcPr>
          <w:p>
            <w:pPr>
              <w:jc w:val="right"/>
              <w:ind w:righ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6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Regulated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Regulated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Regulated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14,764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3,787</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11,001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12,214</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10,409</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c>
          <w:tcPr>
            <w:tcW w:w="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11,119</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36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revenues for the three months ended September 30, 2019 decreased $0.9 million from the same period in 2018. This decrease was related to the following factors:</w:t>
      </w:r>
    </w:p>
    <w:p>
      <w:pPr>
        <w:spacing w:after="0" w:line="162"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decreased $0.6 million due to reduced water consumption across all classes of customers as a result of weather. A reduction in water consumption by wholesale contract customers accounted for $0.5 million of this decrease;</w:t>
      </w: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$0.9 million due to additional customers, somewhat offset by reduced base tariff rates. The reduction in base tariff rates, which was approved by the DEPSC, became effective March 1, 2019, and was prompted by the lower corporate income tax rate enacted under the Tax Cuts and Jobs Act of 2017 (Tax Act). There is a corresponding decrease in income tax expense;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decreased $1.3 million primarily due to changes resulting from USA-PA’s 10-year contract with Perth Amboy. Under the new contract effective January 1, 2019, USA-PA has direct management control for wastewater services, for which USA-PA is compensated. Under the prior contract, USA-PA utilized, and was compensated for, subcontracted wastewater services. This results in a related decrease in operations and maintenance expense;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revenue categories increased $0.1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expenses for the three months ended September 30, 2019 decreased $0.4 million from the same period in 2018, primarily related to the following factors:</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operation and maintenance expenses decreased $1.5 million, primarily due to our new Perth Amboy operating contract, effective January 1, 2019, under which USA-PA no longer incurs sub-contractor fees for wastewater services. This results in a related decrease in operating revenues;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 plan expenses decreased $0.1 million due to lower actuarially-determined postretirement benefit plan service expense;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 our regulated subsidiaries increased $1.4 million due to increased headcount, increased average labor rates and payments relative to certain retiring employees;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operation and maintenance expense categories decreased $0.2 million.</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4" w:name="page25"/>
    <w:bookmarkEnd w:id="2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2019 increased $0.5 million from the same period in 2018 due to a higher level of utility plant in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three months ended September 30, 2019 remained consistent with the same period in 2018 primarily due to lower revenue related taxes on lower revenues in our Middlesex system offset by higher payroll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2019 remained consistent with the same period in 2018, primarily due to higher Allowance for Funds Used During Construction resulting from a higher level of capital construction projects in progress offset by higher actuarially-determined postretirement benefit plan non-service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charges for the three months ended September 30, 2019 increased $0.3 million from the same period in 2018 due to higher average short-term and long-term debt outstanding partially offset by lower interest related to Internal Revenue Service (IRS) examinations of the Company’s federal income tax returns.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for the three months ended September 30, 2019 remained consistent with the same period in 2018, primarily due to lower-pre-tax income and a decrease in Tidewater’s effective income tax rate in March 2019, reflecting the rate reduction approved by the DEPSC to reflect the lower corporate income tax rate resulting from implementation of the Tax Act. The decrease in Tidewater’s effective tax rate has also resulted in a corresponding decrease in operating revenues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Offsetting the decreases above were lower tax deductible repair and maintenance expenses, which results in higher tax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and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September 30, 2019 decreased $1.2 million as compared with the same period in 2018. Basic earnings per share were $0.67 and $0.75 for the three months ended September 30, 2019 and 2018, respectively. Diluted earnings per share were $0.66 and $0.74 for the three months ended September 30, 2019 and 2018, respectively.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5" w:name="page26"/>
    <w:bookmarkEnd w:id="2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Results of Operations – Nine Months Ended September 30, 2019</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0"/>
                <w:szCs w:val="20"/>
                <w:color w:val="auto"/>
              </w:rPr>
            </w:pPr>
          </w:p>
        </w:tc>
        <w:tc>
          <w:tcPr>
            <w:tcW w:w="284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16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Regulated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Regulated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Regulated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43,390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10,999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10,610</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24,937</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27,962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27,827</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979</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23,700</w:t>
            </w:r>
          </w:p>
        </w:tc>
        <w:tc>
          <w:tcPr>
            <w:tcW w:w="30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2,118</w:t>
            </w:r>
          </w:p>
        </w:tc>
        <w:tc>
          <w:tcPr>
            <w:tcW w:w="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25,818</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w:t>
            </w:r>
          </w:p>
        </w:tc>
        <w:tc>
          <w:tcPr>
            <w:tcW w:w="36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revenues for the nine months ended September 30, 2019 decreased $3.0 million from the same period in 2018. This decrease was related to the following factors: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decreased $0.7 million due to the following:</w:t>
      </w:r>
    </w:p>
    <w:p>
      <w:pPr>
        <w:spacing w:after="0" w:line="27" w:lineRule="exact"/>
        <w:rPr>
          <w:sz w:val="20"/>
          <w:szCs w:val="20"/>
          <w:color w:val="auto"/>
        </w:rPr>
      </w:pPr>
    </w:p>
    <w:p>
      <w:pPr>
        <w:ind w:left="1300" w:hanging="320"/>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water consumption related to weather across all classes of customers, resulting in reduced revenues of $1.9 million;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2018, a NJBPU-approved base rate increase resulted in higher revenues of $1.2 million;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$0.9 million primarily due to additional customers, which was mitigated by reduced base tariff rates. The reduction in base rates was approved by the DEPSC and became effective March 1, 2019, and was prompted by the lower corporate income tax rate enacted under the Tax Act. There is a corresponding decrease in income tax expense;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decreased $3.3 million, primarily due to changes resulting from USA-PA’s new 10-year contract with Perth Amboy. Under the new contract, effective January 1, 2019, USA-PA has direct management control for wastewater services, for which USA-PA is compensated. Under the prior contract, USA-PA utilized, and was compensated for, subcontracted wastewater services. This results in a related decrease in operations and maintenance expense;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revenue categories increased $0.1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expenses for the nine months ended September 30, 2019 decreased $2.2 million from the same period in 2018, primarily related to the following factors:</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and maintenance expenses in our non-regulated subsidiaries decreased $4.0 million, primarily due to our new Perth Amboy operating contract, effective January 1, 2019, under which USA-PA no longer incurs sub-contractor fees for wastewater services. This results in a related decrease in operating revenues;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 plan expenses decreased $0.2 million due to lower actuarially-determined postretirement benefit plan service expense;</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 our regulated subsidiaries increased $1.7 million due to increased headcount, increased average labor rates and payments relative to certain retiring employees;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6" w:name="page27"/>
    <w:bookmarkEnd w:id="2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1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costs increased $0.2 million due to the January 2019 commencement of our lease of new corporate administrative office space;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costs increased $0.2 million due to increased premiums and headcount;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operation and maintenance expense categories decreased $0.1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nine months ended September 30, 2019 increased $1.3 million from the same period in 2018 due to a higher level of utility plant in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taxes for the nine months ended September 30, 2019 remained consistent with the same period in 2018 primarily due to lower revenue related taxes on lower revenues in our Middlesex system offset by higher payroll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nine months ended September 30, 2019 decreased $0.2 million from the same period in 2018, primarily due to higher actuarially-determined postretirement benefit plan non-service expense and the sale of wastewater franchise rights by our TESI subsidiary in the second quarter of 2018. This decrease was partially offset by higher Allowance for Funds Used During Construction resulting from a higher level of capital construction projects in progress.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charges for the nine months ended September 30, 2019 increased $0.1 million from the same period in 2018 due to higher average short-term and long-term debt outstanding in 2019 as compared to 2018 partially offset by lower interest associated with IRS examinations of the Company’s federal income tax returns.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for the nine months ended September 30, 2019 decreased $2.6 million from the same period in 2018, primarily due to lower pre-tax income and the regulatory accounting treatment of tax benefits associated with the adoption of the tangible property regulations, prescribed by the IRS, which was approved in Middlesex’s 2018 base rate case decision. In addition, Tidewater’s effective income tax rate was decreased in March 2019, reflecting the rate reduction approved by the DEPSC to reflect the lower corporate income tax rate resulting from implementation of the Tax Act. This has resulted in a corresponding decrease in operating revenues</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and 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nine months ended September 30, 2019 increased $0.4 million as compared with the same period in 2018. Basic earnings per share were $1.56 and $1.55 for the nine months ended September 30, 2019 and 2018, respectively. Diluted earnings per share were $1.55 and $1.54 for the nine months ended September 30,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September 30, 2019, cash flows from operating activities decreased $9.5 million to $23.3 million from the same period in 2018. The decrease in cash flows from operating activities primarily resulted from the timing of payments to vendors and increased income tax payments. Utility plant expenditures for the period were primarily funded by financing activities.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7" w:name="page28"/>
    <w:bookmarkEnd w:id="2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2019, cash flows used in investing activities increased $11.7 million to $61.2 million from the same period in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flows used in investing activities resulted from increased utility plant expenditures.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the Company’s future capital expenditures and expected funding sources, see “</w:t>
      </w: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cash flows from financing activities increased $73.5 million to $89.3 million from the same period in 2018. The majority of the increase in cash flows provided by financing activities is due to the net increase in long-term and short-term debt funding and increased proceeds from the issuance of common stock under the Middlesex Water Company Investment Plan (the Investment Plan).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2019, the Company determined it had inadvertently sold shares of its common stock through the Investment Plan from August 1, 2018 through September 3, 2019 (Eligible Period) after the registration statement covering sales through the Investment Plan had expired and therefore was no longer effective. In October 2019, the Company’s Board of Directors approved a plan to voluntarily offer a right of rescission (Rescission Offer) to Investment Plan participants who purchased shares of the Company’s common stock during the Eligible Period. During the Eligible Period, Investment Plan participants purchased 232,643 shares of Company common stock at an average price of $55.79 per share. The Rescission Offer ends in November 2019. Based on the current market price of the Company’s common stock, the Company does not expect that the exercise of any applicable rescission rights will have a material impact on its results of operations, financial condition or liquidity. For more information, see discussion under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 Capitalization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fund our capital program, we may use internally generated funds, short-term and long-term debt borrowings, proceeds from sales of common stock under the Investment Plan and proceeds from new offerings to the public of our common stock. See below for a more detailed discussion regarding the funding of our capital program.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investment program for 2019 is currently estimated to be approximately $105 million. Through September 30, 2019, we have expended $61 million and expect to incur approximately $44 million for capital projects for the remainder of 2019.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project that we may expend approximately $220 million for capital projects in 2020 and 2021. The actual amount and timing of capital expenditures is dependent on project scheduling and refinement of engineering estimates for certain capital projects.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for our capital program for the remainder of 2019, we plan on utilizing:</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Investment Plan;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New Jersey and Delaware State Revolving Fund (SRF). SRF programs provide low cost financing for projects that meet certain water quality and system improvement benchmarks (see discussion under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3 - Capitalization</w:t>
      </w:r>
      <w:r>
        <w:rPr>
          <w:rFonts w:ascii="Times New Roman" w:cs="Times New Roman" w:eastAsia="Times New Roman" w:hAnsi="Times New Roman"/>
          <w:sz w:val="18"/>
          <w:szCs w:val="18"/>
          <w:color w:val="auto"/>
        </w:rPr>
        <w:t>);</w:t>
      </w: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issuance of First Mortgage Bonds through the New Jersey Economic Development Authority (see discussion under “</w:t>
      </w:r>
      <w:r>
        <w:rPr>
          <w:rFonts w:ascii="Times New Roman" w:cs="Times New Roman" w:eastAsia="Times New Roman" w:hAnsi="Times New Roman"/>
          <w:sz w:val="18"/>
          <w:szCs w:val="18"/>
          <w:i w:val="1"/>
          <w:iCs w:val="1"/>
          <w:color w:val="auto"/>
        </w:rPr>
        <w:t>Middlesex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 $53.7 Million of First Mortgage Bonds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Recent Developments </w:t>
      </w:r>
      <w:r>
        <w:rPr>
          <w:rFonts w:ascii="Times New Roman" w:cs="Times New Roman" w:eastAsia="Times New Roman" w:hAnsi="Times New Roman"/>
          <w:sz w:val="18"/>
          <w:szCs w:val="18"/>
          <w:color w:val="auto"/>
        </w:rPr>
        <w:t>above);</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8" w:name="page29"/>
    <w:bookmarkEnd w:id="2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109" w:lineRule="exact"/>
        <w:rPr>
          <w:sz w:val="20"/>
          <w:szCs w:val="20"/>
          <w:color w:val="auto"/>
        </w:rPr>
      </w:pPr>
    </w:p>
    <w:p>
      <w:pPr>
        <w:ind w:left="660" w:hanging="328"/>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proceeds from a common stock offering (see discussion under “</w:t>
      </w:r>
      <w:r>
        <w:rPr>
          <w:rFonts w:ascii="Times New Roman" w:cs="Times New Roman" w:eastAsia="Times New Roman" w:hAnsi="Times New Roman"/>
          <w:sz w:val="18"/>
          <w:szCs w:val="18"/>
          <w:i w:val="1"/>
          <w:iCs w:val="1"/>
          <w:color w:val="auto"/>
        </w:rPr>
        <w:t>Middlesex Receives Financing Approval</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above); and</w:t>
      </w: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borrowings through $140.0 million of active lines of credit with several financial institutions. As of September 30, 2019, there remains $81.5 million of available credit under these lines.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See Note 1 of the Notes to Unaudited Condensed Consolidated Financial Statements for a discussion of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pronouncements and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2021 to 2059. Over the next twelve months, approximately $7.2 million of the current portion of existing long-term debt instruments will mature. Applying a hypothetical change in the rate of interest charged by 10% on those borrowings, would not have a material effect on our earnings.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retirement benefit plan assets are exposed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9" w:name="page30"/>
    <w:bookmarkEnd w:id="2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30" w:name="page31"/>
    <w:bookmarkEnd w:id="3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about risk factors does not differ materially from those set forth in Part I, Item 1A. of the Company’s Annual Report on Form 10-K for the year ended December 31, 2018.</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600" w:type="dxa"/>
            <w:vAlign w:val="bottom"/>
            <w:gridSpan w:val="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Amended and Restated Line of Credit Note between registrant, registrant’s subsidiaries and PNC Bank, N.A.</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10.32(a)</w:t>
            </w:r>
          </w:p>
        </w:tc>
        <w:tc>
          <w:tcPr>
            <w:tcW w:w="106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Amendment to the Line of Credit included in Amended and Restated Line of Credit Note between registrant, registrant’s subsidiaries and PNC</w:t>
              </w:r>
            </w:hyperlink>
          </w:p>
        </w:tc>
      </w:tr>
      <w:tr>
        <w:trPr>
          <w:trHeight w:val="196"/>
        </w:trPr>
        <w:tc>
          <w:tcPr>
            <w:tcW w:w="820" w:type="dxa"/>
            <w:vAlign w:val="bottom"/>
          </w:tcPr>
          <w:p>
            <w:pPr>
              <w:spacing w:after="0"/>
              <w:rPr>
                <w:sz w:val="17"/>
                <w:szCs w:val="17"/>
                <w:color w:val="auto"/>
              </w:rPr>
            </w:pPr>
          </w:p>
        </w:tc>
        <w:tc>
          <w:tcPr>
            <w:tcW w:w="10600" w:type="dxa"/>
            <w:vAlign w:val="bottom"/>
            <w:gridSpan w:val="7"/>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Bank, N.A., filed as Exhibit 10.32.</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00" w:type="dxa"/>
            <w:vAlign w:val="bottom"/>
            <w:gridSpan w:val="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Section 302 Certification by Dennis W. Doll pursuant to Rules 13a-14 and 15d-14 of the Securities Exchange Act of 1934.</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1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Section 302 Certification by A. Bruce O’Connor pursuant to Rules 13a-14 and 15d-14 of the Securities Exchange Act of 1934.</w:t>
              </w:r>
            </w:hyperlink>
          </w:p>
        </w:tc>
        <w:tc>
          <w:tcPr>
            <w:tcW w:w="1460" w:type="dxa"/>
            <w:vAlign w:val="bottom"/>
            <w:gridSpan w:val="2"/>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00" w:type="dxa"/>
            <w:vAlign w:val="bottom"/>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Section 906 Certification by Dennis W. Doll pursuant to 18 U.S.C. §1350, as adopted pursuant to 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10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Section 906 Certification by A. Bruce O’Connor pursuant to 18 U.S.C. §1350, as adopted pursuant to Section 302 of the Sarbanes-Oxley Act of</w:t>
              </w:r>
            </w:hyperlink>
          </w:p>
        </w:tc>
      </w:tr>
      <w:tr>
        <w:trPr>
          <w:trHeight w:val="196"/>
        </w:trPr>
        <w:tc>
          <w:tcPr>
            <w:tcW w:w="8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53">
              <w:r>
                <w:rPr>
                  <w:rFonts w:ascii="Times New Roman" w:cs="Times New Roman" w:eastAsia="Times New Roman" w:hAnsi="Times New Roman"/>
                  <w:sz w:val="18"/>
                  <w:szCs w:val="18"/>
                  <w:color w:val="0000EE"/>
                  <w:w w:val="93"/>
                </w:rPr>
                <w:t>2002.</w:t>
              </w:r>
            </w:hyperlink>
          </w:p>
        </w:tc>
        <w:tc>
          <w:tcPr>
            <w:tcW w:w="21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88"/>
        </w:trPr>
        <w:tc>
          <w:tcPr>
            <w:tcW w:w="82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gridSpan w:val="3"/>
          </w:tcPr>
          <w:p>
            <w:pPr>
              <w:ind w:left="4760"/>
              <w:spacing w:after="0"/>
              <w:rPr>
                <w:sz w:val="20"/>
                <w:szCs w:val="20"/>
                <w:color w:val="auto"/>
              </w:rPr>
            </w:pPr>
            <w:r>
              <w:rPr>
                <w:rFonts w:ascii="Times New Roman" w:cs="Times New Roman" w:eastAsia="Times New Roman" w:hAnsi="Times New Roman"/>
                <w:sz w:val="22"/>
                <w:szCs w:val="22"/>
                <w:color w:val="auto"/>
              </w:rPr>
              <w:t>28</w:t>
            </w: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6" w:right="239" w:bottom="1440" w:gutter="0" w:footer="0" w:header="0"/>
        </w:sectPr>
      </w:pPr>
    </w:p>
    <w:bookmarkStart w:id="31" w:name="page32"/>
    <w:bookmarkEnd w:id="3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Index</w:t>
        </w:r>
      </w:hyperlink>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12"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 Bruce O’Connor</w:t>
            </w:r>
          </w:p>
        </w:tc>
        <w:tc>
          <w:tcPr>
            <w:tcW w:w="420" w:type="dxa"/>
            <w:vAlign w:val="bottom"/>
          </w:tcPr>
          <w:p>
            <w:pPr>
              <w:spacing w:after="0"/>
              <w:rPr>
                <w:sz w:val="17"/>
                <w:szCs w:val="17"/>
                <w:color w:val="auto"/>
              </w:rPr>
            </w:pPr>
          </w:p>
        </w:tc>
      </w:tr>
      <w:tr>
        <w:trPr>
          <w:trHeight w:val="218"/>
        </w:trPr>
        <w:tc>
          <w:tcPr>
            <w:tcW w:w="6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Bruce O’Connor</w:t>
            </w:r>
          </w:p>
        </w:tc>
      </w:tr>
      <w:tr>
        <w:trPr>
          <w:trHeight w:val="216"/>
        </w:trPr>
        <w:tc>
          <w:tcPr>
            <w:tcW w:w="6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Treasurer and</w:t>
            </w:r>
          </w:p>
        </w:tc>
      </w:tr>
      <w:tr>
        <w:trPr>
          <w:trHeight w:val="216"/>
        </w:trPr>
        <w:tc>
          <w:tcPr>
            <w:tcW w:w="66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0" w:type="dxa"/>
            <w:vAlign w:val="bottom"/>
          </w:tcPr>
          <w:p>
            <w:pPr>
              <w:spacing w:after="0"/>
              <w:rPr>
                <w:sz w:val="20"/>
                <w:szCs w:val="20"/>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1, 2019</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16" w:right="2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-203200</wp:posOffset>
            </wp:positionV>
            <wp:extent cx="1089025"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9025" cy="5143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Committed Line Of Credit Note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(Multi-Rate Options)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$68,000,000.00</w:t>
      </w:r>
      <w:r>
        <w:rPr>
          <w:sz w:val="20"/>
          <w:szCs w:val="20"/>
          <w:color w:val="auto"/>
        </w:rPr>
        <w:tab/>
      </w:r>
      <w:r>
        <w:rPr>
          <w:rFonts w:ascii="Times New Roman" w:cs="Times New Roman" w:eastAsia="Times New Roman" w:hAnsi="Times New Roman"/>
          <w:sz w:val="17"/>
          <w:szCs w:val="17"/>
          <w:b w:val="1"/>
          <w:bCs w:val="1"/>
          <w:color w:val="auto"/>
        </w:rPr>
        <w:t>October 22, 2019</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MIDDLESEX WATER COMPANY, PINELANDS WASTEWATER COMPANY, PINELANDS WATER COMPANY, TIDEWATER ENVIRONMENTAL SERVICES, INC., TIDEWATER UTILITIES, INC., UTILITY SERVICE AFFILIATES (PERTH AMBOY) INC., UTILITY SERVICE AFFILIATES INC.,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WHITE MARSH ENVIRONMENTAL SYSTEMS, INC. (</w:t>
      </w:r>
      <w:r>
        <w:rPr>
          <w:rFonts w:ascii="Times New Roman" w:cs="Times New Roman" w:eastAsia="Times New Roman" w:hAnsi="Times New Roman"/>
          <w:sz w:val="18"/>
          <w:szCs w:val="18"/>
          <w:color w:val="auto"/>
        </w:rPr>
        <w:t>individually and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with an address at 1500 Ronson Road, Iselin, NJ 08830-3049, jointly and severally, promise to pay to the order of </w:t>
      </w:r>
      <w:r>
        <w:rPr>
          <w:rFonts w:ascii="Times New Roman" w:cs="Times New Roman" w:eastAsia="Times New Roman" w:hAnsi="Times New Roman"/>
          <w:sz w:val="18"/>
          <w:szCs w:val="18"/>
          <w:b w:val="1"/>
          <w:bCs w:val="1"/>
          <w:color w:val="auto"/>
        </w:rPr>
        <w:t>PNC BANK, 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ASSOCIATION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in lawful money of the United States of America in immediately available funds at its offices located at Two Tower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Boulevard, East Brunswick, New Jersey 08816, or at such other location as the Bank may designate from time to time, the principal sum of </w:t>
      </w:r>
      <w:r>
        <w:rPr>
          <w:rFonts w:ascii="Times New Roman" w:cs="Times New Roman" w:eastAsia="Times New Roman" w:hAnsi="Times New Roman"/>
          <w:sz w:val="18"/>
          <w:szCs w:val="18"/>
          <w:b w:val="1"/>
          <w:bCs w:val="1"/>
          <w:color w:val="auto"/>
        </w:rPr>
        <w:t>SIXTY EIGHT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MILLION AND 00/100 DOLLARS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$68,000,000.00</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or such lesser amount as may be advanced to or for the benefit of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together with interest accruing on the outstanding principal balance from the date hereof, all as provided below.</w:t>
      </w:r>
    </w:p>
    <w:p>
      <w:pPr>
        <w:spacing w:after="0" w:line="185" w:lineRule="exact"/>
        <w:rPr>
          <w:sz w:val="20"/>
          <w:szCs w:val="20"/>
          <w:color w:val="auto"/>
        </w:rPr>
      </w:pPr>
    </w:p>
    <w:p>
      <w:pPr>
        <w:jc w:val="both"/>
        <w:ind w:firstLine="8"/>
        <w:spacing w:after="0" w:line="255" w:lineRule="auto"/>
        <w:tabs>
          <w:tab w:leader="none" w:pos="68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may request advances, repay and request additional advances hereunder until the Expiration Date,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this Note and the Loan Documents (as hereinafter defined).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b w:val="1"/>
          <w:bCs w:val="1"/>
          <w:color w:val="auto"/>
        </w:rPr>
        <w:t>January 31, 2021</w:t>
      </w:r>
      <w:r>
        <w:rPr>
          <w:rFonts w:ascii="Times New Roman" w:cs="Times New Roman" w:eastAsia="Times New Roman" w:hAnsi="Times New Roman"/>
          <w:sz w:val="18"/>
          <w:szCs w:val="18"/>
          <w:color w:val="auto"/>
        </w:rPr>
        <w:t>, or such later date as may be designated by the Bank by written notice from the Bank to the Borrower. The Borrower acknowledges and agrees that in no event will the Bank be under any obligation to extend or renew the Facility or this Note beyond the Expiration Date. The Borrower may request advances hereunder upon giving oral or written notice to the Bank by 11:00 a.m. (Eastern, Standard time) East Brunswick, New Jersey (a) on the day of the proposed advance, in the case of advances to bear interest under the Base Rate Option (as hereinafter defined) and (b) three (3) Business Days prior to the proposed advance, in the case of advances to bear interest under the LIBOR Option (as hereinafter defined), followed promptly thereafter by the Borrower’s written confirmation to the Bank of any oral notice. The aggregate unpaid principal amount of advances under this Note shall not exceed the face amount of this Note.</w:t>
      </w:r>
    </w:p>
    <w:p>
      <w:pPr>
        <w:spacing w:after="0" w:line="18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71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Rate of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advance outstanding under this Note will bear interest at a rate or rates per annum as may be selected by the Borrower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interest rate options set forth below (each, an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Rate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rate of interest per annum which is at all times equal to the Base Rate. If and when the Base Rate (or any component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changes, the rate of interest with respect to any advance to which the Base Rate Option applies will change automatically without notice to the Borrower, effective on the date of any such change. There are no required minimum interest periods for advances bearing interest under the Base Rate Option.</w:t>
      </w:r>
    </w:p>
    <w:p>
      <w:pPr>
        <w:spacing w:after="0" w:line="170" w:lineRule="exact"/>
        <w:rPr>
          <w:rFonts w:ascii="Times New Roman" w:cs="Times New Roman" w:eastAsia="Times New Roman" w:hAnsi="Times New Roman"/>
          <w:sz w:val="18"/>
          <w:szCs w:val="18"/>
          <w:color w:val="auto"/>
        </w:rPr>
      </w:pPr>
    </w:p>
    <w:p>
      <w:pPr>
        <w:ind w:right="160" w:firstLine="656"/>
        <w:spacing w:after="0" w:line="501" w:lineRule="auto"/>
        <w:tabs>
          <w:tab w:leader="none" w:pos="118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LIBOR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rate per annum equal to (A) LIBOR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ninety (90) basis points (0.90%), for the applicable LIBOR Interest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hereof, the following terms shall have the following meanings:</w:t>
      </w: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shall mean the highest of (A) the Prime Rate, and (B) the sum of the Overnight Bank Funding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fifty (50) basis points (0.50%), and (C) the sum of the Daily LIBOR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hundred (100) basis points (1.0%), so long as a Daily LIBOR Rate is offered, ascertainable and not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Sunday or a legal holiday on which commercial banks are authorized or required by law to be closed for business in East Brunswick, New Jersey.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LIBOR Rate</w:t>
      </w:r>
      <w:r>
        <w:rPr>
          <w:rFonts w:ascii="Times New Roman" w:cs="Times New Roman" w:eastAsia="Times New Roman" w:hAnsi="Times New Roman"/>
          <w:sz w:val="18"/>
          <w:szCs w:val="18"/>
          <w:color w:val="auto"/>
        </w:rPr>
        <w:t xml:space="preserve">” shall mean, for any day, the rate per annum determined by the Bank by dividing (x) the Published Rate by (y) a number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LIBOR Reserve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Daily LIBOR Rate determined as provided above would be less than zero, then such rate shall be deemed to be zero.</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xml:space="preserve">” shall mean, with respect to any advance to which the LIBOR Option applies for the applicable LIBOR Interest Period, the interest rate per annum determined by the Bank by dividing (the resulting quotient rounded upwards, at the Bank’s discretion, to the nearest 1/100th of 1%) (i) the rate of interest determined by the Bank in accordance with its usual procedures (which determination shall be conclusive absent manifest error) to be the eurodollar rate two (2) Business Days prior to the first day of such LIBOR Interest Period for an amount comparable to such advance and having a borrowing date and a maturity comparable to such LIBOR Interest Period by (ii) a number equal to 1.00 minus the LIBOR Reserve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LIBOR, determined as provided above, would be less than zero, then LIBOR shall be deemed to be zero.</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 Interest Period</w:t>
      </w:r>
      <w:r>
        <w:rPr>
          <w:rFonts w:ascii="Times New Roman" w:cs="Times New Roman" w:eastAsia="Times New Roman" w:hAnsi="Times New Roman"/>
          <w:sz w:val="18"/>
          <w:szCs w:val="18"/>
          <w:color w:val="auto"/>
        </w:rPr>
        <w:t xml:space="preserve">” shall mean, as to any advance to which the LIBOR Option applies, the period of one (1), two (2), or three (3) months as selected by the Borrower in its notice of borrowing or notice of conversion, as the case may be, commencing on the date of disbursement of an advance (or the date of conversion of an advance to the LIBOR Option, as the case may be) and each successive period selected by the Borrower thereafter;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if a LIBOR Interest Period would end on a day which is not a Business Day, it shall end on the next succeeding Business Day unless such day falls in the next succeeding calendar month in which case the LIBOR Interest Period shall end on the next preceding Business Day, (ii) the Borrower may not select a LIBOR Interest Period that would end on a day after the Expiration Date, and (iii) any LIBOR Interest Period that begins on the last Business Day of a calendar month (or a day for which there is no numerically corresponding day in the last calendar month of such LIBOR Interest Period) shall end on the last Business Day of the last calendar month of such LIBOR Interest Period.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 Reserve Percentage</w:t>
      </w:r>
      <w:r>
        <w:rPr>
          <w:rFonts w:ascii="Times New Roman" w:cs="Times New Roman" w:eastAsia="Times New Roman" w:hAnsi="Times New Roman"/>
          <w:sz w:val="18"/>
          <w:szCs w:val="18"/>
          <w:color w:val="auto"/>
        </w:rPr>
        <w:t>” shall mean the maximum effective percentage in effect on such day as prescribed by the Board of Governors of the Federal Reserve System (or any successor) for determining the reserve requirements (including, without limitation, supplemental, marginal and emergency reserve requirements) with respect to eurocurrency funding (currently referred to as “Eurocurrency liabilities”).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Bank Funding Rate</w:t>
      </w:r>
      <w:r>
        <w:rPr>
          <w:rFonts w:ascii="Times New Roman" w:cs="Times New Roman" w:eastAsia="Times New Roman" w:hAnsi="Times New Roman"/>
          <w:sz w:val="18"/>
          <w:szCs w:val="18"/>
          <w:color w:val="auto"/>
        </w:rPr>
        <w:t>” shall mean,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Bank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shall mean the rate publicly announced by the Bank from time to time as its prime rate. The Prime Rate is determined from time to time by the Bank as a means of pricing some loans to its borrowers. The Prime Rate is not tied to any external rate of interest or index, and does not necessarily reflect the lowest rate of interest actually charged by the Bank to any particular class or category of customers.</w:t>
      </w:r>
    </w:p>
    <w:p>
      <w:pPr>
        <w:spacing w:after="0" w:line="2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11430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0"/>
          </w:cols>
          <w:pgMar w:left="900" w:top="576" w:right="239" w:bottom="1440" w:gutter="0" w:footer="0" w:header="0"/>
        </w:sectPr>
      </w:pPr>
    </w:p>
    <w:bookmarkStart w:id="34" w:name="page35"/>
    <w:bookmarkEnd w:id="34"/>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Published Rate</w:t>
      </w:r>
      <w:r>
        <w:rPr>
          <w:rFonts w:ascii="Times New Roman" w:cs="Times New Roman" w:eastAsia="Times New Roman" w:hAnsi="Times New Roman"/>
          <w:sz w:val="18"/>
          <w:szCs w:val="18"/>
          <w:color w:val="auto"/>
        </w:rPr>
        <w:t>” shall mean the rate of interest published each Business Day in the Wall Street Journal “Money Rates” listing under the caption “London Interbank Offered Rates” for a one month period (or, if no such rate is published therein for any reason, then the Published Rate shall be the eurodollar rate for a one month period as published in another publication selected by the Bank).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LIBOR and the Daily LIBOR Rate shall be adjusted with respect to any advance to which the LIBOR Option or Base Rate Option applies, as applicable, on and as of the effective date of any change in the LIBOR Reserve Percentage. The Bank shall give prompt notice to the Borrower of LIBOR or the Daily LIBOR Rate as determined or adjusted in accordance herewith, which determination shall be conclusive absent manifest error.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Bank determines (which determination shall be final and conclusive) that, by reason of circumstances affecting the eurodollar market generally, deposits in dollars (in the applicable amounts) are not being offered to banks in the eurodollar market for the selected term, or adequate means do not exist for ascertaining LIBOR, then the Bank shall give notice thereof to the Borrower. Thereafter, until the Bank notifies the Borrower that the circumstances giving rise to such suspension no longer exist, (a) the availability of the LIBOR Option shall be suspended, and (b) the interest rate for all advances then bearing interest under the LIBOR Option shall be converted at the expiration of the then current LIBOR Interest Period(s) to the Base Rate Option.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after the date of this Note, the Bank shall determine (which determination shall be final and conclusive) that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impossible for the Bank to make or maintain or fund loans based on LIBOR, the Bank shall notify the Borrower. Upon receipt of such notice, until the Bank notifies the Borrower that the circumstances giving rise to such determination no longer apply, (a) the availability of the LIBOR Option shall be suspended, and (b) the interest rate on all advances then bearing interest under the LIBOR Option shall be converted to the Base Rate Option either (i) on the last day of the then current LIBOR Interest Period(s) if the Bank may lawfully continue to maintain advances based on LIBOR to such day, or (ii) immediately if the Bank may not lawfully continue to maintain advances based on LIBOR.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notwithstanding, it is understood that the Borrower may select different Options to apply simultaneously to different portions of the advances and may select up to three (3) different interest periods to apply simultaneously to different portions of the advances bearing interest under the LIBOR Option. Interest hereunder will be calculated based on the actual number of days that principal is outstanding over a year of 360 days. In no event will the rate of interest hereunder exceed the maximum rate allowed by law.</w:t>
      </w:r>
    </w:p>
    <w:p>
      <w:pPr>
        <w:spacing w:after="0" w:line="176" w:lineRule="exact"/>
        <w:rPr>
          <w:sz w:val="20"/>
          <w:szCs w:val="20"/>
          <w:color w:val="auto"/>
        </w:rPr>
      </w:pPr>
    </w:p>
    <w:p>
      <w:pPr>
        <w:jc w:val="both"/>
        <w:ind w:firstLine="8"/>
        <w:spacing w:after="0" w:line="254" w:lineRule="auto"/>
        <w:tabs>
          <w:tab w:leader="none" w:pos="45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Election</w:t>
      </w:r>
      <w:r>
        <w:rPr>
          <w:rFonts w:ascii="Times New Roman" w:cs="Times New Roman" w:eastAsia="Times New Roman" w:hAnsi="Times New Roman"/>
          <w:sz w:val="18"/>
          <w:szCs w:val="18"/>
          <w:color w:val="auto"/>
        </w:rPr>
        <w:t>. Subject to the terms and conditions of this Note, at the end of each interest period applicable to any advance, the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renew the Option applicable to such advance or convert such advance to a different Option;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during any period in which any Event of Default (as hereinafter defined) has occurred and is continuing, any advances bearing interest under the LIBOR Option shall, at the Bank’s sole discretion, be converted at the end of the applicable LIBOR Interest Period to the Base Rate Option and the LIBOR Option will not be available to Borrower with respect to any new advances (or with respect to the conversion or renewal of any existing advances) until such Event of Default has been cured by the Borrower or waived by the Bank. The Borrower shall notify the Bank of each election of an Option, each conversion from one Option to another, the amount of the advances then outstanding to be allocated to each Option and where relevant the interest periods therefor. In the case of converting to the LIBOR Option, such notice shall be given at least three (3) Business Days prior to the commencement of any LIBOR Interest Period. If no interest period is specified in any such notice for which the resulting advance is to bear interest under the LIBOR Option, the Borrower shall be deemed to have selected a LIBOR Interest Period of one month’s duration. If no notice of election, conversion or renewal is timely received by the Bank with respect to any advance, the Borrower shall be deemed to have elected the Base Rate Option. Any such election shall be promptly confirmed in writing by such method as the Bank may require.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5" w:name="page36"/>
    <w:bookmarkEnd w:id="35"/>
    <w:p>
      <w:pPr>
        <w:jc w:val="both"/>
        <w:ind w:firstLine="8"/>
        <w:spacing w:after="0" w:line="256" w:lineRule="auto"/>
        <w:tabs>
          <w:tab w:leader="none" w:pos="59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permitted by the Bank, a request for advance may be made by telephone or electronic mail, with such confirmation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verification (if any) as the Bank may require in its discretion from time to time. A request for advance by any Borrower shall be binding upon Borrower, jointly and severally. The Borrower authorizes the Bank to accept telephonic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and electronic requests or by the making of such advances. The Bank will enter on its books and records, which entry when made will be presumed correct, the date and amount of each advance, as well as the date and amount of each payment made by the Borrower.</w:t>
      </w:r>
    </w:p>
    <w:p>
      <w:pPr>
        <w:spacing w:after="0" w:line="183"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45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Terms</w:t>
      </w:r>
      <w:r>
        <w:rPr>
          <w:rFonts w:ascii="Times New Roman" w:cs="Times New Roman" w:eastAsia="Times New Roman" w:hAnsi="Times New Roman"/>
          <w:sz w:val="18"/>
          <w:szCs w:val="18"/>
          <w:color w:val="auto"/>
        </w:rPr>
        <w:t>. The Borrower shall pay accrued interest on the unpaid principal balance of this Note in arrears: (a) for the portion of advances bearing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under the Base Rate Option, on the first day of each month during the term hereof, (b) for the portion of advances bearing interest under the LIBOR Option, on the last day of the respective LIBOR Interest Period for such advance, (c) if any LIBOR Interest Period is longer than three (3) months, then also on the three (3) month anniversary of such interest period and every three (3) months thereafter, and (d) for all advances, at maturity, whether by acceleration of this Note or otherwise, and after maturity, on demand until paid in full. All outstanding principal and accrued interest hereunder shall be due and payable in full on the Expiration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payment under this Note shall become due on a day other than a Business Day, such payment shall be made on the next succeeding Business Day and such extension of time shall be included in computing interest in connection with such payment. The Borrower hereby authorizes the Bank to charge the Borrower’s deposit account at the Bank for any payment when due hereunder. Payments received will be applied to charges, fees and expenses (including attorneys’ fees), accrued interest and principal in any order the Bank may choose, in its sole discretion.</w:t>
      </w:r>
    </w:p>
    <w:p>
      <w:pPr>
        <w:spacing w:after="0" w:line="176" w:lineRule="exact"/>
        <w:rPr>
          <w:sz w:val="20"/>
          <w:szCs w:val="20"/>
          <w:color w:val="auto"/>
        </w:rPr>
      </w:pPr>
    </w:p>
    <w:p>
      <w:pPr>
        <w:jc w:val="both"/>
        <w:ind w:firstLine="8"/>
        <w:spacing w:after="0" w:line="253" w:lineRule="auto"/>
        <w:tabs>
          <w:tab w:leader="none" w:pos="46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Late Payments; 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Borrower fails to make any payment of principal, interest or other amount coming due pursuant to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Note within fifteen (15) calendar days of the date due and payable, the Borrower also shall pay to the Bank a late charge equal to the lesser of five percent (5%) of the amount of such payment or $100.00 (the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 Such fifteen (15) day period shall not be construed in any way to extend the due date of any such payment. Upon maturity, whether by acceleration, demand or otherwise, and at the Bank’s option upon the occurrence of any Event of Default (as hereinafter defined) and during the continuance thereof, each advance outstanding under this Note shall bear interest at a rate per annum (based on the actual number of days that principal is outstanding over a year of 360 days) which shall be three percentage points (3%) in excess of the interest rate in effect from time to time under this Note but not more than the maximum rate allowed by law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spacing w:after="0" w:line="188"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55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shall have the right to prepay any advance hereunder at any time and from time to time, in whole or in part;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to payment of any break funding indemnification amounts owing pursuant to paragraph 9 below.</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6" w:name="page37"/>
    <w:bookmarkEnd w:id="36"/>
    <w:p>
      <w:pPr>
        <w:jc w:val="both"/>
        <w:ind w:firstLine="8"/>
        <w:spacing w:after="0" w:line="254" w:lineRule="auto"/>
        <w:tabs>
          <w:tab w:leader="none" w:pos="53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Increased Costs; Yield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written demand, together with written evidence of the justification therefor, the Borrower agrees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w:t>
      </w:r>
    </w:p>
    <w:p>
      <w:pPr>
        <w:spacing w:after="0" w:line="1" w:lineRule="exact"/>
        <w:rPr>
          <w:rFonts w:ascii="Times New Roman" w:cs="Times New Roman" w:eastAsia="Times New Roman" w:hAnsi="Times New Roman"/>
          <w:sz w:val="18"/>
          <w:szCs w:val="18"/>
          <w:b w:val="1"/>
          <w:bCs w:val="1"/>
          <w:color w:val="auto"/>
        </w:rPr>
      </w:pPr>
    </w:p>
    <w:p>
      <w:pPr>
        <w:jc w:val="both"/>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46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Break Funding Indemnification</w:t>
      </w:r>
      <w:r>
        <w:rPr>
          <w:rFonts w:ascii="Times New Roman" w:cs="Times New Roman" w:eastAsia="Times New Roman" w:hAnsi="Times New Roman"/>
          <w:sz w:val="18"/>
          <w:szCs w:val="18"/>
          <w:color w:val="auto"/>
        </w:rPr>
        <w:t>. The Borrower agrees to indemnify the Bank against any liabilities, losses or expenses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margin, any loss or expense sustained or incurred in liquidating or employing deposits from third parties, and any loss or expense incurred in connection with funds acquired to effect, fund or maintain any advance (or any part thereof) bearing interest under the LIBOR Option) which the Bank sustains or incurs as a consequence of either (i) the Borrower’s failure to make a payment on the due date thereof, (ii) the Borrower’s revocation (expressly, by later inconsistent notices or otherwise) in whole or in part of any notice given to Bank to request, convert, renew or prepay any advance bearing interest under the LIBOR Option, or (iii) the Borrower’s payment or prepayment (whether voluntary, after acceleration of the maturity of this Note or otherwise) or conversion of any advance bearing interest under the LIBOR Option on a day other than the last day of the applicable LIBOR Interest Period. A notice as to any amounts payable pursuant to this paragraph given to the Borrower by the Bank shall, in the absence of manifest error, be conclusive and shall be payable upon demand. The Borrower’s indemnification obligations hereunder shall survive the payment in full of the advances and all other amounts payable hereunder.</w:t>
      </w:r>
    </w:p>
    <w:p>
      <w:pPr>
        <w:spacing w:after="0" w:line="186"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63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is issued in connection with a letter agreement or loan agreement between the Borrower and the Bank,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29, 2015, and the other agreements and documents executed and/or delivered in connection therewith or referred to therein, the terms of which are incorporated herein by reference (as amended, modified or renewed from time to time, collectively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and is secured by the property (if any) described in the Loan Documents and by such other collateral as previously may have been or may in the future be granted to the Bank to secure this Note.</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543"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occurrence of any of the following events will be deemed to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Note: (i) the nonpayment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 (v)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ten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any Borrower and any guarantor of, or any pledgor, mortgagor or other person or entity providing collateral support for, the Borrower’s obligations to the Bank existing on the date of this Note or arising in the future.</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spacing w:after="0" w:line="185" w:lineRule="exact"/>
        <w:rPr>
          <w:sz w:val="20"/>
          <w:szCs w:val="20"/>
          <w:color w:val="auto"/>
        </w:rPr>
      </w:pPr>
    </w:p>
    <w:p>
      <w:pPr>
        <w:jc w:val="both"/>
        <w:ind w:firstLine="8"/>
        <w:spacing w:after="0" w:line="255" w:lineRule="auto"/>
        <w:tabs>
          <w:tab w:leader="none" w:pos="56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 of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all liens upon and rights of setoff against the Borrower’s money, securities or other property given to the Bank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553"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Anti-Money Laundering/International Trade Law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and warrants to the Bank, as of the date of this Note,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 (ii) has any of its assets in a Sanctioned Country or in the possession, custody or control of a Sanctioned Person; or (iii) does business in or with, or derives any of its operating income from investments in or transactions with, any Sanctioned Country or Sanctioned Person in violation of any law, regulation, order or directive enforced by any Compliance Authority; (b) the proceeds of the Facility will not be used to fund any operations in, finance any investments or activities in, or, make any payments to, a Sanctioned Country or Sanctioned Person in violation of any law, regulation, order or directive enforced by any Compliance Authority; (c) the funds used to repay the Facility are not derived from any unlawful activity; and (d) each Covered Entity is in compliance with, and no Covered Entity engages in any dealings or transactions prohibited by, any laws of the United States, including but not limited to any Anti-Terrorism Laws. Borrower covenants and agrees that it shall immediately notify the Bank in writing upon the occurrence of a Reportable Compliance Event.</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any laws relating to terrorism, trade sanctions programs and embargoes, import/export licensing, money laundering, or bribery, all as amended, supplemented or replaced from time to time; “</w:t>
      </w:r>
      <w:r>
        <w:rPr>
          <w:rFonts w:ascii="Times New Roman" w:cs="Times New Roman" w:eastAsia="Times New Roman" w:hAnsi="Times New Roman"/>
          <w:sz w:val="18"/>
          <w:szCs w:val="18"/>
          <w:b w:val="1"/>
          <w:bCs w:val="1"/>
          <w:color w:val="auto"/>
        </w:rPr>
        <w:t>Compliance Authority</w:t>
      </w:r>
      <w:r>
        <w:rPr>
          <w:rFonts w:ascii="Times New Roman" w:cs="Times New Roman" w:eastAsia="Times New Roman" w:hAnsi="Times New Roman"/>
          <w:sz w:val="18"/>
          <w:szCs w:val="18"/>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the Borrower, its affiliates and subsidiaries, all guarantors, pledgors of collateral, all owners of the foregoing, and all brokers or other agents of the Borrower acting in any capacity in connection with the Facility; “</w:t>
      </w:r>
      <w:r>
        <w:rPr>
          <w:rFonts w:ascii="Times New Roman" w:cs="Times New Roman" w:eastAsia="Times New Roman" w:hAnsi="Times New Roman"/>
          <w:sz w:val="18"/>
          <w:szCs w:val="18"/>
          <w:b w:val="1"/>
          <w:bCs w:val="1"/>
          <w:color w:val="auto"/>
        </w:rPr>
        <w:t>Reportable Compliance Event</w:t>
      </w:r>
      <w:r>
        <w:rPr>
          <w:rFonts w:ascii="Times New Roman" w:cs="Times New Roman" w:eastAsia="Times New Roman" w:hAnsi="Times New Roman"/>
          <w:sz w:val="18"/>
          <w:szCs w:val="18"/>
          <w:color w:val="auto"/>
        </w:rPr>
        <w:t>” means that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Anti-Terrorism Law;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 country subject to a sanctions program maintained by any Compliance Authority; and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189" w:lineRule="exact"/>
        <w:rPr>
          <w:sz w:val="20"/>
          <w:szCs w:val="20"/>
          <w:color w:val="auto"/>
        </w:rPr>
      </w:pPr>
    </w:p>
    <w:p>
      <w:pPr>
        <w:jc w:val="both"/>
        <w:ind w:firstLine="8"/>
        <w:spacing w:after="0" w:line="253" w:lineRule="auto"/>
        <w:tabs>
          <w:tab w:leader="none" w:pos="58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agrees to indemnify each of the Bank, each legal entity, if any, who controls, is controlled by or is under common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Bank, and each of their respective directors, officers and employees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xml:space="preserve">”),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indemnity agreement shall not apply to any claims, damages, losses, liabilities and expenses solely attributable to an Indemnified Party's gross negligence or willful misconduct. The indemnity agreement contained in this Section shall survive the termination of this Note, payment of any advance hereunder and the assignment of any rights hereunder. The Borrower may participate at its expense in the defense of any such action or claim.</w:t>
      </w:r>
    </w:p>
    <w:p>
      <w:pPr>
        <w:spacing w:after="0" w:line="190"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All notices, demands, requests, consents, approvals and other communications required or permitted hereunder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must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writing (except as may be agreed otherwise above with respect to borrowing requests or as otherwise provided in this Note) and will be effective upon receipt.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Notices may be sent to a party’s address as set forth above or to such other address as any party may give to the other for such purpose in accordance with this paragraph.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and notice of non-payment.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may not assign this Note in whole or in part without the Bank’s written consent and the Bank at any time may assign this Note in whole or in part.</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xml:space="preserve">This Note has been delivered to and accepted by the Bank and will be deemed to be made in the State where the Bank’s office indicated above is located.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 WILL BE INTERPRETED AND THE RIGHTS AND LIABILITIES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 AND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ORROWER DETERMINED IN ACCORDANCE WITH THE LAWS OF THE STATE WHERE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 OFFICE INDICATED ABOVE IS 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EXCLUDING ITS CONFLICT OF LAWS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INCLUDING WITHOUT LIMITATION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OR</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b w:val="1"/>
          <w:bCs w:val="1"/>
          <w:color w:val="auto"/>
        </w:rPr>
        <w:t>EQUIVALENT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 xml:space="preserve"> IN EFFECT IN THE STATE WHERE THE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 xml:space="preserve">S OFFICE INDICATED ABOVE IS LOCATED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 xml:space="preserve"> TO THE EXTENT CONTROLLING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 xml:space="preserve"> THE LAWS OF THE </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 xml:space="preserve">NITED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 xml:space="preserve">TATES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 xml:space="preserve">F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INCLUDING WITHOUT LIMITATION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IGNATURES IN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LOBAL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OMMERCE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Borrower hereby irrevocably consents to</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exclusive jurisdiction of any state or 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spacing w:after="0" w:line="183" w:lineRule="exact"/>
        <w:rPr>
          <w:sz w:val="20"/>
          <w:szCs w:val="20"/>
          <w:color w:val="auto"/>
        </w:rPr>
      </w:pPr>
    </w:p>
    <w:p>
      <w:pPr>
        <w:jc w:val="both"/>
        <w:ind w:firstLine="8"/>
        <w:spacing w:after="0" w:line="259" w:lineRule="auto"/>
        <w:tabs>
          <w:tab w:leader="none" w:pos="64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amends and restates, and is in substitution for, that certain Amended and Restated Committed 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Note in the original principal amount of $48,000,000.00 payable to the order of the Bank and dated February 19, 2019 (the “</w:t>
      </w:r>
      <w:r>
        <w:rPr>
          <w:rFonts w:ascii="Times New Roman" w:cs="Times New Roman" w:eastAsia="Times New Roman" w:hAnsi="Times New Roman"/>
          <w:sz w:val="18"/>
          <w:szCs w:val="18"/>
          <w:b w:val="1"/>
          <w:bCs w:val="1"/>
          <w:color w:val="auto"/>
        </w:rPr>
        <w:t>Existing Note</w:t>
      </w:r>
      <w:r>
        <w:rPr>
          <w:rFonts w:ascii="Times New Roman" w:cs="Times New Roman" w:eastAsia="Times New Roman" w:hAnsi="Times New Roman"/>
          <w:sz w:val="18"/>
          <w:szCs w:val="18"/>
          <w:color w:val="auto"/>
        </w:rPr>
        <w:t>”). However, without duplication, this Note shall in no way extinguish, cancel or satisfy Borrower’s unconditional obligation to repay all indebtedness evidenced by the Existing Note or constitute a novation of the Existing Note. Nothing herein is intended to extinguish, cancel or impair the lien priority or effect of any security agreement, pledge agreement or mortgage with respect to any Obligor’s obligations hereunder and under any other document relating hereto.</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Commercial Purpose</w:t>
      </w:r>
      <w:r>
        <w:rPr>
          <w:rFonts w:ascii="Times New Roman" w:cs="Times New Roman" w:eastAsia="Times New Roman" w:hAnsi="Times New Roman"/>
          <w:sz w:val="18"/>
          <w:szCs w:val="18"/>
          <w:color w:val="auto"/>
        </w:rPr>
        <w:t>. The Borrower represents that the indebtedness evidenced by this Note is being incurred by the Borrower solely for the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acquiring or carrying on a business, professional or commercial activity, and not for personal, family or household purposes.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55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USA PATRIOT Act Notice</w:t>
      </w:r>
      <w:r>
        <w:rPr>
          <w:rFonts w:ascii="Times New Roman" w:cs="Times New Roman" w:eastAsia="Times New Roman" w:hAnsi="Times New Roman"/>
          <w:sz w:val="18"/>
          <w:szCs w:val="18"/>
          <w:color w:val="auto"/>
        </w:rPr>
        <w:t>. To help the government fight the funding of terrorism and money laundering activities, Federal law requires all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60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Authorization to Obtain Credit Reports</w:t>
      </w:r>
      <w:r>
        <w:rPr>
          <w:rFonts w:ascii="Times New Roman" w:cs="Times New Roman" w:eastAsia="Times New Roman" w:hAnsi="Times New Roman"/>
          <w:sz w:val="18"/>
          <w:szCs w:val="18"/>
          <w:color w:val="auto"/>
        </w:rPr>
        <w:t>. By signing below, each Borrower who is an individual provides written authorization to the Bank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designee (and any assignee or potential assignee hereof) to obtain the Borrower’s personal credit profile from one or more national credit bureaus. Such authorization shall extend to obtaining a credit profile in considering this Note and subsequently for the purposes of update, renewal or extension of such credit or additional credit and for reviewing or collecting the resulting account.</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0" w:name="page41"/>
    <w:bookmarkEnd w:id="40"/>
    <w:p>
      <w:pPr>
        <w:jc w:val="both"/>
        <w:ind w:firstLine="8"/>
        <w:spacing w:after="0" w:line="259" w:lineRule="auto"/>
        <w:tabs>
          <w:tab w:leader="none" w:pos="66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Signatures and Records</w:t>
      </w:r>
      <w:r>
        <w:rPr>
          <w:rFonts w:ascii="Times New Roman" w:cs="Times New Roman" w:eastAsia="Times New Roman" w:hAnsi="Times New Roman"/>
          <w:sz w:val="18"/>
          <w:szCs w:val="18"/>
          <w:color w:val="auto"/>
        </w:rPr>
        <w:t>. Notwithstanding any other provision herein, the Borrower agrees that this Note, the Loan Documents,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thereto, and any other information, notice, signature card, agreement or authorization related thereto (each, a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1" w:name="page42"/>
    <w:bookmarkEnd w:id="41"/>
    <w:p>
      <w:pPr>
        <w:jc w:val="both"/>
        <w:ind w:firstLine="8"/>
        <w:spacing w:after="0" w:line="268" w:lineRule="auto"/>
        <w:tabs>
          <w:tab w:leader="none" w:pos="6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ORROWER IRREVOCABLY WAIVES ANY AND ALL RIGHTS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ORROWER MAY HAVE TO A TRIAL BY JURY IN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PROCEEDING OR CLAIM OF ANY NATURE RELATING TO THIS </w:t>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 xml:space="preserve"> ANY DOCUMENTS EXECUTED IN CONNECTION WITH THIS </w:t>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 OR ANY TRANSACTION CONTEMPLATED IN ANY OF SUCH DOCUMENTS</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 xml:space="preserve">HE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ORROWER ACKNOWLEDGES THAT THE FOREGOING WAIVER IS KNOWING AND VOLUNTARY</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Borrower acknowledges that it has read and understands all the provisions of this Note, including the waiver of jury trial, and has been advised by counsel as necessary or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hereof as a document under seal, as of the date first written above, with the intent to be legally bound hereby.</w:t>
      </w:r>
    </w:p>
    <w:p>
      <w:pPr>
        <w:spacing w:after="0" w:line="2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229" w:lineRule="exact"/>
        <w:rPr>
          <w:sz w:val="20"/>
          <w:szCs w:val="20"/>
          <w:color w:val="auto"/>
        </w:rPr>
      </w:pPr>
    </w:p>
    <w:p>
      <w:pPr>
        <w:ind w:left="8180"/>
        <w:spacing w:after="0"/>
        <w:tabs>
          <w:tab w:leader="none" w:pos="8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-130810</wp:posOffset>
            </wp:positionV>
            <wp:extent cx="16465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Senior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PINELANDS WASTEWATER</w:t>
      </w:r>
    </w:p>
    <w:p>
      <w:pPr>
        <w:spacing w:after="0" w:line="3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ind w:left="8180"/>
        <w:spacing w:after="0"/>
        <w:tabs>
          <w:tab w:leader="none" w:pos="8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-130810</wp:posOffset>
            </wp:positionV>
            <wp:extent cx="16465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PINELANDS WATER COMPANY</w:t>
      </w:r>
    </w:p>
    <w:p>
      <w:pPr>
        <w:spacing w:after="0" w:line="229" w:lineRule="exact"/>
        <w:rPr>
          <w:sz w:val="20"/>
          <w:szCs w:val="20"/>
          <w:color w:val="auto"/>
        </w:rPr>
      </w:pPr>
    </w:p>
    <w:p>
      <w:pPr>
        <w:ind w:left="8180"/>
        <w:spacing w:after="0"/>
        <w:tabs>
          <w:tab w:leader="none" w:pos="8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-130810</wp:posOffset>
            </wp:positionV>
            <wp:extent cx="16465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TIDEWATER UTILITIES, INC.</w:t>
      </w:r>
    </w:p>
    <w:p>
      <w:pPr>
        <w:spacing w:after="0" w:line="229" w:lineRule="exact"/>
        <w:rPr>
          <w:sz w:val="20"/>
          <w:szCs w:val="20"/>
          <w:color w:val="auto"/>
        </w:rPr>
      </w:pPr>
    </w:p>
    <w:p>
      <w:pPr>
        <w:ind w:left="8180"/>
        <w:spacing w:after="0"/>
        <w:tabs>
          <w:tab w:leader="none" w:pos="8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-130810</wp:posOffset>
            </wp:positionV>
            <wp:extent cx="16465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President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CONTINUE ON NEXT PAGE]</w:t>
      </w: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2" w:name="page43"/>
    <w:bookmarkEnd w:id="42"/>
    <w:p>
      <w:pPr>
        <w:ind w:left="6980"/>
        <w:spacing w:after="0"/>
        <w:rPr>
          <w:sz w:val="20"/>
          <w:szCs w:val="20"/>
          <w:color w:val="auto"/>
        </w:rPr>
      </w:pPr>
      <w:r>
        <w:rPr>
          <w:rFonts w:ascii="Times New Roman" w:cs="Times New Roman" w:eastAsia="Times New Roman" w:hAnsi="Times New Roman"/>
          <w:sz w:val="18"/>
          <w:szCs w:val="18"/>
          <w:b w:val="1"/>
          <w:bCs w:val="1"/>
          <w:color w:val="auto"/>
        </w:rPr>
        <w:t>UTILITY SERVICE AFFILIATES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(PERTH AMBOY) INC.</w:t>
      </w:r>
    </w:p>
    <w:p>
      <w:pPr>
        <w:spacing w:after="0" w:line="207"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-130810</wp:posOffset>
            </wp:positionV>
            <wp:extent cx="16465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UTILITY SERVICE AFFILIATES INC.</w:t>
      </w:r>
    </w:p>
    <w:p>
      <w:pPr>
        <w:spacing w:after="0" w:line="229"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-130810</wp:posOffset>
            </wp:positionV>
            <wp:extent cx="16465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TIDEWATER ENVIRONMENTAL</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SERVICES, INC.</w:t>
      </w:r>
    </w:p>
    <w:p>
      <w:pPr>
        <w:spacing w:after="0" w:line="207"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-130810</wp:posOffset>
            </wp:positionV>
            <wp:extent cx="16465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WHITE MARSH ENVIRONMENTAL</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SYSTEMS, INC.</w:t>
      </w:r>
    </w:p>
    <w:p>
      <w:pPr>
        <w:spacing w:after="0" w:line="207"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-130810</wp:posOffset>
            </wp:positionV>
            <wp:extent cx="16465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President</w:t>
      </w:r>
    </w:p>
    <w:p>
      <w:pPr>
        <w:spacing w:after="0" w:line="3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009"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10.32(a)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157480</wp:posOffset>
            </wp:positionV>
            <wp:extent cx="1089025"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890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Amendment to Loan Documents</w:t>
      </w:r>
    </w:p>
    <w:p>
      <w:pPr>
        <w:spacing w:after="0" w:line="23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AMENDMENT TO LOAN DOCUMENTS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October 22, 2019, by and between</w:t>
      </w:r>
      <w:r>
        <w:rPr>
          <w:rFonts w:ascii="Times New Roman" w:cs="Times New Roman" w:eastAsia="Times New Roman" w:hAnsi="Times New Roman"/>
          <w:sz w:val="18"/>
          <w:szCs w:val="18"/>
          <w:b w:val="1"/>
          <w:bCs w:val="1"/>
          <w:color w:val="auto"/>
        </w:rPr>
        <w:t xml:space="preserve"> MIDDLESEX WATER COMPANY, PINELANDS WASTEWATER COMPANY, PINELANDS WATER COMPANY, TIDEWATER ENVIRONMENTAL SERVICES, INC., TIDEWATER UTILITIES, INC., UTILITY SERVICE AFFILIATES (PERTH AMBOY) INC., UTILITY SERVICE AFFILIATES INC.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WHITE MARSH ENVIRONMENTAL SYSTEMS, INC. (</w:t>
      </w:r>
      <w:r>
        <w:rPr>
          <w:rFonts w:ascii="Times New Roman" w:cs="Times New Roman" w:eastAsia="Times New Roman" w:hAnsi="Times New Roman"/>
          <w:sz w:val="18"/>
          <w:szCs w:val="18"/>
          <w:color w:val="auto"/>
        </w:rPr>
        <w:t>individually and collectively,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PNC BANK, NATIONAL ASSOCIATION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56"/>
        <w:spacing w:after="0" w:line="255" w:lineRule="auto"/>
        <w:tabs>
          <w:tab w:leader="none" w:pos="12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another obligor has executed and delivered to the Bank (or a predecessor which is now known by the Bank’s name as set forth above), one or more promissory notes, letter agreements, loan agreements, security agreements, mortgages, pledge agreements, collateral assignments, and other agreements, instruments, certificates and documents, some or all of which are more fully described on attached Exhibit A, which is made a part of this Amendment (collectively as amended from time to time,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which evidence or secure some or all of the indebtedness and other obligations of the Borrower to the Bank for one or more loans or other extensions of credit (as used herein, collectively, together with the Obligations, if and as defined in the Loan Documents, the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Any initially capitalized terms used in this Amendment without definition shall have the meanings assigned to those terms in the Loan Documents.</w:t>
      </w:r>
    </w:p>
    <w:p>
      <w:pPr>
        <w:spacing w:after="0" w:line="18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Bank desire to amend the Loan Documents as provided for in this Amendment.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herein contained and intending to be legally bound hereby, the parties hereto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jc w:val="both"/>
        <w:ind w:firstLine="656"/>
        <w:spacing w:after="0" w:line="261" w:lineRule="auto"/>
        <w:tabs>
          <w:tab w:leader="none" w:pos="12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Loan Documents are amended as set forth in Exhibit A. Any and all references to any Loan Document in any other Loan Document shall be deemed to refer to such Loan Document as amended by this Amendment. This Amendment is deemed incorporated into each of the Loan Documents. To the extent that any term or provision of this Amendment is or may be inconsistent with any term or provision in any Loan Document, the terms and provisions of this Amendment shall control.</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11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 (c) 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4" w:name="page45"/>
    <w:bookmarkEnd w:id="44"/>
    <w:p>
      <w:pPr>
        <w:ind w:left="1100" w:hanging="444"/>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effectiveness of this Amendment, the Borrower shall comply with the terms and conditions (if any) specified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A.</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arising out of or relating to the Obligations. The Borrower further agrees to indemnify and hold the Bank and its officers, directors, attorneys, agents and employees harmless from any loss, damage, judgment, liability or expense (including attorneys’ fees) suffered by or rendered against the Bank or any of them on account of any claims arising out of or relating to the Obligations. The Borrower further states that it has carefully read the foregoing release and indemnity, knows the contents thereof and grants the same as its own free act and deed.</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Upon written request by the other party (which may be made by electronic mail), any party so executing this Amendment by facsimile transmission shall promptly deliver a manually executed counterpart, provided that any failure to do so shall not affect the validity of the counterpart executed by facsimile transmission.</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1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herein or in the other Loan Documents, the Borrower agrees that this Amendment, the Note, the other Loan Documents, any other amendments thereto and any other information, notice, signature card, agreement or authorization related thereto (each, a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 The Borrower and the Bank acknowledge and agree that the methods for delivering Communications, including notices, under the Loan Documents include electronic transmittal to any electronic address provided by either party to the other party from time to time.</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1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modify this Amendment for the purposes of completing missing content or correcting erroneous content, without the need for a written amendment, provided that the Bank shall send a copy of any such modification to the Borrower (which notice may be given by electronic mail).</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will be binding upon and inure to the benefit of the Borrower and the Bank and their respective heirs, executors, administrators, successors and assigns.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delivered to and accepted by the Bank and will be deemed to be made in the State where the Bank’s office indicated in the Loan Documents is located. This Amendment will be interpreted and the rights and liabilities of the parties hereto determined in accordance with the laws of the State where the Bank’s office indicated in the Loan Documents is located, excluding its conflict of laws rules, including without limitation the Electronic Transactions Act (or equivalent) in such State (or, to the extent controlling, the laws of the United States of America, including without limitation the Electronic Signatures in Global and National Commerce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2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w:t>
      </w:r>
      <w:r>
        <w:rPr>
          <w:rFonts w:ascii="Times New Roman" w:cs="Times New Roman" w:eastAsia="Times New Roman" w:hAnsi="Times New Roman"/>
          <w:sz w:val="18"/>
          <w:szCs w:val="18"/>
          <w:b w:val="1"/>
          <w:bCs w:val="1"/>
          <w:color w:val="auto"/>
        </w:rPr>
        <w:t>The</w:t>
      </w:r>
    </w:p>
    <w:p>
      <w:pPr>
        <w:spacing w:after="0" w:line="2"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Borrower expressly ratifies and confirms the confession of judgment (if applicable) and waiver of jury trial or arbitration provisions contained in the Loan Documents, all of which are incorporated herein by reference.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of this Amendment as a document under seal as of the date first written above.</w:t>
      </w:r>
    </w:p>
    <w:p>
      <w:pPr>
        <w:spacing w:after="0" w:line="22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229" w:lineRule="exact"/>
        <w:rPr>
          <w:sz w:val="20"/>
          <w:szCs w:val="20"/>
          <w:color w:val="auto"/>
        </w:rPr>
      </w:pPr>
    </w:p>
    <w:p>
      <w:pPr>
        <w:ind w:left="752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-130810</wp:posOffset>
            </wp:positionV>
            <wp:extent cx="16465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Senior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PINELANDS WASTEWATER</w:t>
      </w:r>
    </w:p>
    <w:p>
      <w:pPr>
        <w:spacing w:after="0" w:line="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ind w:left="752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-130810</wp:posOffset>
            </wp:positionV>
            <wp:extent cx="16465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PINELANDS WATER COMPANY</w:t>
      </w:r>
    </w:p>
    <w:p>
      <w:pPr>
        <w:spacing w:after="0" w:line="229" w:lineRule="exact"/>
        <w:rPr>
          <w:sz w:val="20"/>
          <w:szCs w:val="20"/>
          <w:color w:val="auto"/>
        </w:rPr>
      </w:pPr>
    </w:p>
    <w:p>
      <w:pPr>
        <w:ind w:left="752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-130810</wp:posOffset>
            </wp:positionV>
            <wp:extent cx="16465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TIDEWATER UTILITIES, INC.</w:t>
      </w:r>
    </w:p>
    <w:p>
      <w:pPr>
        <w:spacing w:after="0" w:line="229" w:lineRule="exact"/>
        <w:rPr>
          <w:sz w:val="20"/>
          <w:szCs w:val="20"/>
          <w:color w:val="auto"/>
        </w:rPr>
      </w:pPr>
    </w:p>
    <w:p>
      <w:pPr>
        <w:ind w:left="752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-130810</wp:posOffset>
            </wp:positionV>
            <wp:extent cx="16465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President</w:t>
      </w:r>
    </w:p>
    <w:p>
      <w:pPr>
        <w:spacing w:after="0" w:line="20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UTILITY SERVICE AFFILIATES</w:t>
      </w:r>
    </w:p>
    <w:p>
      <w:pPr>
        <w:spacing w:after="0" w:line="3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(PERTH AMBOY) INC.</w:t>
      </w:r>
    </w:p>
    <w:p>
      <w:pPr>
        <w:spacing w:after="0" w:line="207" w:lineRule="exact"/>
        <w:rPr>
          <w:sz w:val="20"/>
          <w:szCs w:val="20"/>
          <w:color w:val="auto"/>
        </w:rPr>
      </w:pPr>
    </w:p>
    <w:p>
      <w:pPr>
        <w:ind w:left="752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-130810</wp:posOffset>
            </wp:positionV>
            <wp:extent cx="16465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20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[SIGNATURES CONTINUE ON NEXT PAGE]</w:t>
      </w:r>
    </w:p>
    <w:p>
      <w:pPr>
        <w:spacing w:after="0" w:line="3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11430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0"/>
          </w:cols>
          <w:pgMar w:left="900" w:top="576" w:right="239" w:bottom="1440" w:gutter="0" w:footer="0" w:header="0"/>
        </w:sectPr>
      </w:pPr>
    </w:p>
    <w:bookmarkStart w:id="46" w:name="page47"/>
    <w:bookmarkEnd w:id="46"/>
    <w:p>
      <w:pPr>
        <w:ind w:left="6660"/>
        <w:spacing w:after="0"/>
        <w:rPr>
          <w:sz w:val="20"/>
          <w:szCs w:val="20"/>
          <w:color w:val="auto"/>
        </w:rPr>
      </w:pPr>
      <w:r>
        <w:rPr>
          <w:rFonts w:ascii="Times New Roman" w:cs="Times New Roman" w:eastAsia="Times New Roman" w:hAnsi="Times New Roman"/>
          <w:sz w:val="18"/>
          <w:szCs w:val="18"/>
          <w:b w:val="1"/>
          <w:bCs w:val="1"/>
          <w:color w:val="auto"/>
        </w:rPr>
        <w:t>UTILITY SERVICE AFFILIATES INC.</w:t>
      </w:r>
    </w:p>
    <w:p>
      <w:pPr>
        <w:spacing w:after="0" w:line="229" w:lineRule="exact"/>
        <w:rPr>
          <w:sz w:val="20"/>
          <w:szCs w:val="20"/>
          <w:color w:val="auto"/>
        </w:rPr>
      </w:pPr>
    </w:p>
    <w:p>
      <w:pPr>
        <w:ind w:left="666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-130810</wp:posOffset>
            </wp:positionV>
            <wp:extent cx="16465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TIDEWATER ENVIRONMENTAL</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SERVICES, INC.</w:t>
      </w:r>
    </w:p>
    <w:p>
      <w:pPr>
        <w:spacing w:after="0" w:line="207" w:lineRule="exact"/>
        <w:rPr>
          <w:sz w:val="20"/>
          <w:szCs w:val="20"/>
          <w:color w:val="auto"/>
        </w:rPr>
      </w:pPr>
    </w:p>
    <w:p>
      <w:pPr>
        <w:ind w:left="666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-130810</wp:posOffset>
            </wp:positionV>
            <wp:extent cx="16465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WHITE MARSH ENVIRONMENTAL</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SYSTEMS, INC.</w:t>
      </w:r>
    </w:p>
    <w:p>
      <w:pPr>
        <w:spacing w:after="0" w:line="207" w:lineRule="exact"/>
        <w:rPr>
          <w:sz w:val="20"/>
          <w:szCs w:val="20"/>
          <w:color w:val="auto"/>
        </w:rPr>
      </w:pPr>
    </w:p>
    <w:p>
      <w:pPr>
        <w:ind w:left="666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 Bruce O’Connor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-130810</wp:posOffset>
            </wp:positionV>
            <wp:extent cx="16465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25"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Virginia Alling</w:t>
            </w:r>
          </w:p>
        </w:tc>
      </w:tr>
      <w:tr>
        <w:trPr>
          <w:trHeight w:val="42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Virginia Alling</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009"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EXHIBIT A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LOAN DOCUMENTS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22, 2019</w:t>
      </w:r>
    </w:p>
    <w:p>
      <w:pPr>
        <w:spacing w:after="0" w:line="200" w:lineRule="exact"/>
        <w:rPr>
          <w:sz w:val="20"/>
          <w:szCs w:val="20"/>
          <w:color w:val="auto"/>
        </w:rPr>
      </w:pPr>
    </w:p>
    <w:p>
      <w:pPr>
        <w:spacing w:after="0" w:line="223" w:lineRule="exact"/>
        <w:rPr>
          <w:sz w:val="20"/>
          <w:szCs w:val="20"/>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that are the subject of this Amendment include the following (as each of such documents has been amended, modified or otherwise supplemented previously):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Loan Agreement between the Borrower and the Bank dated April 29, 2015 between the Borrower and the Bank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$48,000,000.00 Amended and Restated Committed Line of Credit Note dated February 19, 2019 executed and delivered by the Borrower to the Bank (“</w:t>
      </w:r>
      <w:r>
        <w:rPr>
          <w:rFonts w:ascii="Times New Roman" w:cs="Times New Roman" w:eastAsia="Times New Roman" w:hAnsi="Times New Roman"/>
          <w:sz w:val="18"/>
          <w:szCs w:val="18"/>
          <w:b w:val="1"/>
          <w:bCs w:val="1"/>
          <w:color w:val="auto"/>
        </w:rPr>
        <w:t>Existing Note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Loan Documents dated June 30, 2015 between the Borrower and the Bank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Loan Documents dated September 26, 2017 between the Borrower and the Bank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Loan Documents dated May 4, 2018 between the Borrower and the Bank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Loan Documents dated February 19, 2019 between the Borrower and the Bank</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instruments, agreements, and certificates executed and delivered in connection with the Loan Documents listed in this Section A.</w:t>
      </w:r>
    </w:p>
    <w:p>
      <w:pPr>
        <w:spacing w:after="0" w:line="377"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are amended as follows: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Agreement is hereby amended and restated to read in its entirety as follows:</w:t>
      </w:r>
    </w:p>
    <w:p>
      <w:pPr>
        <w:spacing w:after="0" w:line="221" w:lineRule="exact"/>
        <w:rPr>
          <w:sz w:val="20"/>
          <w:szCs w:val="20"/>
          <w:color w:val="auto"/>
        </w:rPr>
      </w:pPr>
    </w:p>
    <w:p>
      <w:pPr>
        <w:jc w:val="both"/>
        <w:ind w:left="660" w:firstLine="37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Line of Credit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One of the Loans governed by this Agreement is a committed revolving line of credit under which the Borrower may request and the Bank, subject to the terms and conditions of this Agreement, will make advances to the Borrower from time to time until the Expiration Date, in an aggregate amount outstanding at any time not to exceed $68,000,000.00 (the “</w:t>
      </w:r>
      <w:r>
        <w:rPr>
          <w:rFonts w:ascii="Times New Roman" w:cs="Times New Roman" w:eastAsia="Times New Roman" w:hAnsi="Times New Roman"/>
          <w:sz w:val="18"/>
          <w:szCs w:val="18"/>
          <w:b w:val="1"/>
          <w:bCs w:val="1"/>
          <w:color w:val="auto"/>
        </w:rPr>
        <w:t>Line of Credit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have the meaning set forth in the note evidencing the Line of Credit. The Borrower acknowledges and agrees that in no event will the Bank be under any obligation to extend or renew the Line of Credit beyond the Expiration Date. In no event shall the aggregate unpaid principal amount of advances under the Line of Credit exceed the face amount of the Line of Credit. Advances under the Line of Credit will be used for working capital or other general business purposes of the Borrower.”</w:t>
      </w:r>
    </w:p>
    <w:p>
      <w:pPr>
        <w:spacing w:after="0" w:line="183" w:lineRule="exact"/>
        <w:rPr>
          <w:sz w:val="20"/>
          <w:szCs w:val="20"/>
          <w:color w:val="auto"/>
        </w:rPr>
      </w:pPr>
    </w:p>
    <w:p>
      <w:pPr>
        <w:jc w:val="both"/>
        <w:ind w:left="1300" w:hanging="644"/>
        <w:spacing w:after="0" w:line="255"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333333"/>
        </w:rPr>
        <w:t>Restated Note</w:t>
      </w:r>
      <w:r>
        <w:rPr>
          <w:rFonts w:ascii="Times New Roman" w:cs="Times New Roman" w:eastAsia="Times New Roman" w:hAnsi="Times New Roman"/>
          <w:sz w:val="18"/>
          <w:szCs w:val="18"/>
          <w:color w:val="333333"/>
        </w:rPr>
        <w:t>. Concurrently with the execution and delivery of this Amendment, the Borrower shall execute and deliver to the Bank an</w:t>
      </w:r>
      <w:r>
        <w:rPr>
          <w:rFonts w:ascii="Times New Roman" w:cs="Times New Roman" w:eastAsia="Times New Roman" w:hAnsi="Times New Roman"/>
          <w:sz w:val="18"/>
          <w:szCs w:val="18"/>
          <w:b w:val="1"/>
          <w:bCs w:val="1"/>
          <w:color w:val="333333"/>
        </w:rPr>
        <w:t xml:space="preserve"> </w:t>
      </w:r>
      <w:r>
        <w:rPr>
          <w:rFonts w:ascii="Times New Roman" w:cs="Times New Roman" w:eastAsia="Times New Roman" w:hAnsi="Times New Roman"/>
          <w:sz w:val="18"/>
          <w:szCs w:val="18"/>
          <w:color w:val="333333"/>
        </w:rPr>
        <w:t>amended and restated note (the "</w:t>
      </w:r>
      <w:r>
        <w:rPr>
          <w:rFonts w:ascii="Times New Roman" w:cs="Times New Roman" w:eastAsia="Times New Roman" w:hAnsi="Times New Roman"/>
          <w:sz w:val="18"/>
          <w:szCs w:val="18"/>
          <w:b w:val="1"/>
          <w:bCs w:val="1"/>
          <w:color w:val="333333"/>
        </w:rPr>
        <w:t>Restated Note</w:t>
      </w:r>
      <w:r>
        <w:rPr>
          <w:rFonts w:ascii="Times New Roman" w:cs="Times New Roman" w:eastAsia="Times New Roman" w:hAnsi="Times New Roman"/>
          <w:sz w:val="18"/>
          <w:szCs w:val="18"/>
          <w:color w:val="333333"/>
        </w:rPr>
        <w:t>") evidencing the line of credit in the original principal amount of $68,000,000.00, in form and substance satisfactory to the Bank. Upon receipt by the Bank of the Restated Note, the Existing Note shall be canceled; the loan evidenced by the Existing Note (the "</w:t>
      </w:r>
      <w:r>
        <w:rPr>
          <w:rFonts w:ascii="Times New Roman" w:cs="Times New Roman" w:eastAsia="Times New Roman" w:hAnsi="Times New Roman"/>
          <w:sz w:val="18"/>
          <w:szCs w:val="18"/>
          <w:b w:val="1"/>
          <w:bCs w:val="1"/>
          <w:color w:val="333333"/>
        </w:rPr>
        <w:t>Existing Loan</w:t>
      </w:r>
      <w:r>
        <w:rPr>
          <w:rFonts w:ascii="Times New Roman" w:cs="Times New Roman" w:eastAsia="Times New Roman" w:hAnsi="Times New Roman"/>
          <w:sz w:val="18"/>
          <w:szCs w:val="18"/>
          <w:color w:val="333333"/>
        </w:rPr>
        <w:t>") and all accrued and unpaid interest on the Existing Loan shall thereafter be evidenced by the Restated Note; and all references to the promissory note evidencing the Existing Loan in any documents relating thereto, howsoever named, shall thereafter be deemed to refer to the Restated Note. Without duplication, the Restated Note shall not constitute a novation and shall in no way extinguish the Borrower's unconditional obligation to repay all indebtedness, including accrued and unpaid interest, evidenced by the Existing Note.</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8" w:name="page49"/>
    <w:bookmarkEnd w:id="48"/>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Effectiveness of Amendment: The Bank’s willingness to agree to the amendments set forth in this Amendment is subject to the prior satisfaction of the following conditions: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Execution by all parties and delivery to the Bank of this Amendment and the Restated Note.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Dennis W. Doll, certify that:</w:t>
      </w:r>
    </w:p>
    <w:p>
      <w:pPr>
        <w:spacing w:after="0" w:line="225" w:lineRule="exact"/>
        <w:rPr>
          <w:sz w:val="20"/>
          <w:szCs w:val="20"/>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388"/>
        <w:spacing w:after="0"/>
        <w:rPr>
          <w:sz w:val="20"/>
          <w:szCs w:val="20"/>
          <w:color w:val="auto"/>
        </w:rPr>
      </w:pPr>
      <w:r>
        <w:rPr>
          <w:rFonts w:ascii="Times New Roman" w:cs="Times New Roman" w:eastAsia="Times New Roman" w:hAnsi="Times New Roman"/>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-7620</wp:posOffset>
            </wp:positionV>
            <wp:extent cx="1017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7" w:lineRule="exact"/>
        <w:rPr>
          <w:sz w:val="20"/>
          <w:szCs w:val="20"/>
          <w:color w:val="auto"/>
        </w:rPr>
      </w:pPr>
    </w:p>
    <w:p>
      <w:pPr>
        <w:ind w:left="5668"/>
        <w:spacing w:after="0"/>
        <w:rPr>
          <w:sz w:val="20"/>
          <w:szCs w:val="20"/>
          <w:color w:val="auto"/>
        </w:rPr>
      </w:pPr>
      <w:r>
        <w:rPr>
          <w:rFonts w:ascii="Times New Roman" w:cs="Times New Roman" w:eastAsia="Times New Roman" w:hAnsi="Times New Roman"/>
          <w:sz w:val="18"/>
          <w:szCs w:val="18"/>
          <w:color w:val="auto"/>
        </w:rPr>
        <w:t>Dennis W. Doll</w:t>
      </w:r>
    </w:p>
    <w:p>
      <w:pPr>
        <w:spacing w:after="0" w:line="9"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228600</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08"/>
        <w:spacing w:after="0"/>
        <w:rPr>
          <w:sz w:val="20"/>
          <w:szCs w:val="20"/>
          <w:color w:val="auto"/>
        </w:rPr>
      </w:pPr>
      <w:r>
        <w:rPr>
          <w:rFonts w:ascii="Times New Roman" w:cs="Times New Roman" w:eastAsia="Times New Roman" w:hAnsi="Times New Roman"/>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-7620</wp:posOffset>
            </wp:positionV>
            <wp:extent cx="12414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spacing w:after="0" w:line="7" w:lineRule="exact"/>
        <w:rPr>
          <w:sz w:val="20"/>
          <w:szCs w:val="20"/>
          <w:color w:val="auto"/>
        </w:rPr>
      </w:pPr>
    </w:p>
    <w:p>
      <w:pPr>
        <w:ind w:left="5688"/>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ind w:left="5608"/>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Date: 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228600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17"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1017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Dennis W. Doll</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10699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9975" cy="8890"/>
                    </a:xfrm>
                    <a:prstGeom prst="rect">
                      <a:avLst/>
                    </a:prstGeom>
                    <a:noFill/>
                  </pic:spPr>
                </pic:pic>
              </a:graphicData>
            </a:graphic>
          </wp:anchor>
        </w:drawing>
      </w:r>
    </w:p>
    <w:p>
      <w:pPr>
        <w:spacing w:after="0" w:line="7"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color w:val="auto"/>
        </w:rPr>
        <w:t>A. Bruce O’Connor</w:t>
      </w:r>
    </w:p>
    <w:p>
      <w:pPr>
        <w:spacing w:after="0" w:line="9"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þ"/>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o"/>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lvl w:ilvl="1">
      <w:lvlJc w:val="left"/>
      <w:lvlText w:val="(%2)"/>
      <w:numFmt w:val="lowerRoman"/>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1."/>
      <w:numFmt w:val="decimal"/>
      <w:start w:val="4"/>
    </w:lvl>
  </w:abstractNum>
  <w:abstractNum w:abstractNumId="20">
    <w:nsid w:val="2CA88611"/>
    <w:multiLevelType w:val="hybridMultilevel"/>
    <w:lvl w:ilvl="0">
      <w:lvlJc w:val="left"/>
      <w:lvlText w:val="%1."/>
      <w:numFmt w:val="decimal"/>
      <w:start w:val="6"/>
    </w:lvl>
  </w:abstractNum>
  <w:abstractNum w:abstractNumId="21">
    <w:nsid w:val="836C40E"/>
    <w:multiLevelType w:val="hybridMultilevel"/>
    <w:lvl w:ilvl="0">
      <w:lvlJc w:val="left"/>
      <w:lvlText w:val="%1."/>
      <w:numFmt w:val="decimal"/>
      <w:start w:val="8"/>
    </w:lvl>
  </w:abstractNum>
  <w:abstractNum w:abstractNumId="22">
    <w:nsid w:val="2901D82"/>
    <w:multiLevelType w:val="hybridMultilevel"/>
    <w:lvl w:ilvl="0">
      <w:lvlJc w:val="left"/>
      <w:lvlText w:val="%1."/>
      <w:numFmt w:val="decimal"/>
      <w:start w:val="12"/>
    </w:lvl>
  </w:abstractNum>
  <w:abstractNum w:abstractNumId="23">
    <w:nsid w:val="3A95F874"/>
    <w:multiLevelType w:val="hybridMultilevel"/>
    <w:lvl w:ilvl="0">
      <w:lvlJc w:val="left"/>
      <w:lvlText w:val="%1."/>
      <w:numFmt w:val="decimal"/>
      <w:start w:val="14"/>
    </w:lvl>
  </w:abstractNum>
  <w:abstractNum w:abstractNumId="24">
    <w:nsid w:val="8138641"/>
    <w:multiLevelType w:val="hybridMultilevel"/>
    <w:lvl w:ilvl="0">
      <w:lvlJc w:val="left"/>
      <w:lvlText w:val="%1."/>
      <w:numFmt w:val="decimal"/>
      <w:start w:val="16"/>
    </w:lvl>
  </w:abstractNum>
  <w:abstractNum w:abstractNumId="25">
    <w:nsid w:val="1E7FF521"/>
    <w:multiLevelType w:val="hybridMultilevel"/>
    <w:lvl w:ilvl="0">
      <w:lvlJc w:val="left"/>
      <w:lvlText w:val="%1."/>
      <w:numFmt w:val="decimal"/>
      <w:start w:val="20"/>
    </w:lvl>
  </w:abstractNum>
  <w:abstractNum w:abstractNumId="26">
    <w:nsid w:val="7C3DBD3D"/>
    <w:multiLevelType w:val="hybridMultilevel"/>
    <w:lvl w:ilvl="0">
      <w:lvlJc w:val="left"/>
      <w:lvlText w:val="%1."/>
      <w:numFmt w:val="decimal"/>
      <w:start w:val="21"/>
    </w:lvl>
  </w:abstractNum>
  <w:abstractNum w:abstractNumId="27">
    <w:nsid w:val="737B8DDC"/>
    <w:multiLevelType w:val="hybridMultilevel"/>
    <w:lvl w:ilvl="0">
      <w:lvlJc w:val="left"/>
      <w:lvlText w:val="%1."/>
      <w:numFmt w:val="upperLetter"/>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4"/>
    </w:lvl>
  </w:abstractNum>
  <w:abstractNum w:abstractNumId="30">
    <w:nsid w:val="4516DDE9"/>
    <w:multiLevelType w:val="hybridMultilevel"/>
    <w:lvl w:ilvl="0">
      <w:lvlJc w:val="left"/>
      <w:lvlText w:val="%1."/>
      <w:numFmt w:val="upperLetter"/>
      <w:start w:val="1"/>
    </w:lvl>
    <w:lvl w:ilvl="1">
      <w:lvlJc w:val="left"/>
      <w:lvlText w:val="%2."/>
      <w:numFmt w:val="decimal"/>
      <w:start w:val="1"/>
    </w:lvl>
  </w:abstractNum>
  <w:abstractNum w:abstractNumId="31">
    <w:nsid w:val="3006C83E"/>
    <w:multiLevelType w:val="hybridMultilevel"/>
    <w:lvl w:ilvl="0">
      <w:lvlJc w:val="left"/>
      <w:lvlText w:val="%1."/>
      <w:numFmt w:val="decimal"/>
      <w:start w:val="2"/>
    </w:lvl>
  </w:abstractNum>
  <w:abstractNum w:abstractNumId="32">
    <w:nsid w:val="614FD4A1"/>
    <w:multiLevelType w:val="hybridMultilevel"/>
    <w:lvl w:ilvl="0">
      <w:lvlJc w:val="left"/>
      <w:lvlText w:val="%1."/>
      <w:numFmt w:val="upperLetter"/>
      <w:start w:val="3"/>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2019-12-28T03:16:21Z</dcterms:created>
  <dcterms:modified xsi:type="dcterms:W3CDTF">2019-12-28T03:16:21Z</dcterms:modified>
</cp:coreProperties>
</file>