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 to______________________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0-422</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MIDDLESEX WATER COMPANY</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33" w:type="dxa"/>
        <w:jc w:val="left"/>
        <w:tblInd w:w="0" w:type="dxa"/>
        <w:tblLayout w:type="fixed"/>
        <w:tblCellMar>
          <w:top w:w="28" w:type="dxa"/>
          <w:left w:w="28" w:type="dxa"/>
          <w:bottom w:w="28" w:type="dxa"/>
          <w:right w:w="28" w:type="dxa"/>
        </w:tblCellMar>
      </w:tblPr>
      <w:tblGrid>
        <w:gridCol w:w="760"/>
        <w:gridCol w:w="667"/>
        <w:gridCol w:w="672"/>
        <w:gridCol w:w="827"/>
        <w:gridCol w:w="827"/>
        <w:gridCol w:w="1180"/>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22-1114430</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485C Route One South, Iselin, New Jersey 08830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(732) 634-1500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left"/>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MSEX</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tbl>
      <w:tblPr>
        <w:tblW w:w="8007"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59"/>
        <w:gridCol w:w="159"/>
        <w:gridCol w:w="159"/>
        <w:gridCol w:w="159"/>
        <w:gridCol w:w="159"/>
        <w:gridCol w:w="159"/>
        <w:gridCol w:w="251"/>
        <w:gridCol w:w="251"/>
        <w:gridCol w:w="259"/>
        <w:gridCol w:w="172"/>
        <w:gridCol w:w="172"/>
        <w:gridCol w:w="172"/>
        <w:gridCol w:w="172"/>
        <w:gridCol w:w="172"/>
        <w:gridCol w:w="172"/>
        <w:gridCol w:w="172"/>
        <w:gridCol w:w="172"/>
        <w:gridCol w:w="172"/>
        <w:gridCol w:w="599"/>
        <w:gridCol w:w="599"/>
        <w:gridCol w:w="601"/>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715"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1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09" w:type="dxa"/>
            <w:gridSpan w:val="1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each of the registrant's classes of common stock, as of April 29, 2026: Common Stock, No Par Value: 18,624,329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INDEX</w:t>
      </w:r>
    </w:p>
    <w:tbl>
      <w:tblPr>
        <w:tblW w:w="10205" w:type="dxa"/>
        <w:jc w:val="left"/>
        <w:tblInd w:w="0" w:type="dxa"/>
        <w:tblLayout w:type="fixed"/>
        <w:tblCellMar>
          <w:top w:w="28" w:type="dxa"/>
          <w:left w:w="28" w:type="dxa"/>
          <w:bottom w:w="28" w:type="dxa"/>
          <w:right w:w="28" w:type="dxa"/>
        </w:tblCellMar>
      </w:tblPr>
      <w:tblGrid>
        <w:gridCol w:w="292"/>
        <w:gridCol w:w="257"/>
        <w:gridCol w:w="259"/>
        <w:gridCol w:w="2899"/>
        <w:gridCol w:w="2899"/>
        <w:gridCol w:w="2905"/>
        <w:gridCol w:w="202"/>
        <w:gridCol w:w="202"/>
        <w:gridCol w:w="290"/>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
              <w:r>
                <w:rPr>
                  <w:rStyle w:val="InternetLink"/>
                  <w:rFonts w:ascii="Times New Roman;serif" w:hAnsi="Times New Roman;serif"/>
                  <w:b/>
                  <w:strike w:val="false"/>
                  <w:dstrike w:val="false"/>
                  <w:color w:val="000000"/>
                  <w:sz w:val="20"/>
                  <w:u w:val="none"/>
                  <w:effect w:val="none"/>
                </w:rPr>
                <w:t>PART I.</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
              <w:r>
                <w:rPr>
                  <w:rStyle w:val="InternetLink"/>
                  <w:rFonts w:ascii="Times New Roman;serif" w:hAnsi="Times New Roman;serif"/>
                  <w:b/>
                  <w:color w:val="0000FF"/>
                  <w:sz w:val="20"/>
                  <w:u w:val="single"/>
                </w:rPr>
                <w:t>FINANCIAL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3">
              <w:r>
                <w:rPr>
                  <w:rStyle w:val="InternetLink"/>
                  <w:rFonts w:ascii="Times New Roman;serif" w:hAnsi="Times New Roman;serif"/>
                  <w:b w:val="false"/>
                  <w:strike w:val="false"/>
                  <w:dstrike w:val="false"/>
                  <w:color w:val="000000"/>
                  <w:sz w:val="20"/>
                  <w:u w:val="none"/>
                  <w:effect w:val="none"/>
                </w:rPr>
                <w:t>Item 1.</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3">
              <w:r>
                <w:rPr>
                  <w:rStyle w:val="InternetLink"/>
                  <w:rFonts w:ascii="Times New Roman;serif" w:hAnsi="Times New Roman;serif"/>
                  <w:b w:val="false"/>
                  <w:color w:val="0000FF"/>
                  <w:sz w:val="20"/>
                  <w:u w:val="single"/>
                </w:rPr>
                <w:t>Financial Statements (Unaudited):</w:t>
              </w:r>
            </w:hyperlink>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6">
              <w:r>
                <w:rPr>
                  <w:rStyle w:val="InternetLink"/>
                  <w:rFonts w:ascii="Times New Roman;serif" w:hAnsi="Times New Roman;serif"/>
                  <w:b w:val="false"/>
                  <w:color w:val="000080"/>
                  <w:sz w:val="20"/>
                  <w:u w:val="single"/>
                </w:rPr>
                <w:t xml:space="preserve">Condensed Consolidated Statements of Income for </w:t>
              </w:r>
            </w:hyperlink>
            <w:hyperlink w:anchor="i74b0127d56964843b04734feec9656f2_16">
              <w:r>
                <w:rPr>
                  <w:rStyle w:val="InternetLink"/>
                  <w:rFonts w:ascii="Times New Roman;serif" w:hAnsi="Times New Roman;serif"/>
                  <w:b w:val="false"/>
                  <w:color w:val="000080"/>
                  <w:sz w:val="20"/>
                  <w:u w:val="single"/>
                </w:rPr>
                <w:t>the three months in</w:t>
              </w:r>
            </w:hyperlink>
            <w:hyperlink w:anchor="i74b0127d56964843b04734feec9656f2_16">
              <w:r>
                <w:rPr>
                  <w:rStyle w:val="InternetLink"/>
                  <w:rFonts w:ascii="Times New Roman;serif" w:hAnsi="Times New Roman;serif"/>
                  <w:b w:val="false"/>
                  <w:color w:val="000080"/>
                  <w:sz w:val="20"/>
                  <w:u w:val="single"/>
                </w:rPr>
                <w:t xml:space="preserve"> each of</w:t>
              </w:r>
            </w:hyperlink>
            <w:hyperlink w:anchor="i74b0127d56964843b04734feec9656f2_16">
              <w:r>
                <w:rPr>
                  <w:rStyle w:val="InternetLink"/>
                  <w:rFonts w:ascii="Times New Roman;serif" w:hAnsi="Times New Roman;serif"/>
                  <w:b w:val="false"/>
                  <w:color w:val="000080"/>
                  <w:sz w:val="20"/>
                  <w:u w:val="single"/>
                </w:rPr>
                <w:t xml:space="preserve"> the periods ended March 31, 2026 and 2025</w:t>
              </w:r>
            </w:hyperlink>
            <w:r>
              <w:rPr>
                <w:color w:val="000000"/>
              </w:rPr>
              <w:t xml:space="preserve"> </w:t>
            </w:r>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16">
              <w:r>
                <w:rPr>
                  <w:rStyle w:val="InternetLink"/>
                  <w:rFonts w:ascii="Times New Roman;serif" w:hAnsi="Times New Roman;serif"/>
                  <w:b w:val="false"/>
                  <w:strike w:val="false"/>
                  <w:dstrike w:val="false"/>
                  <w:color w:val="000000"/>
                  <w:sz w:val="20"/>
                  <w:u w:val="none"/>
                  <w:effect w:val="none"/>
                </w:rPr>
                <w:t>1</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9">
              <w:r>
                <w:rPr>
                  <w:rStyle w:val="InternetLink"/>
                  <w:rFonts w:ascii="Times New Roman;serif" w:hAnsi="Times New Roman;serif"/>
                  <w:b w:val="false"/>
                  <w:color w:val="0000FF"/>
                  <w:sz w:val="20"/>
                  <w:u w:val="single"/>
                </w:rPr>
                <w:t xml:space="preserve">Condensed Consolidated Balance Sheets at March 31, 2026 and December 31, 2025 </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19">
              <w:r>
                <w:rPr>
                  <w:rStyle w:val="InternetLink"/>
                  <w:rFonts w:ascii="Times New Roman;serif" w:hAnsi="Times New Roman;serif"/>
                  <w:b w:val="false"/>
                  <w:strike w:val="false"/>
                  <w:dstrike w:val="false"/>
                  <w:color w:val="000000"/>
                  <w:sz w:val="20"/>
                  <w:u w:val="none"/>
                  <w:effect w:val="none"/>
                </w:rPr>
                <w:t>2</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22">
              <w:r>
                <w:rPr>
                  <w:rStyle w:val="InternetLink"/>
                  <w:rFonts w:ascii="Times New Roman;serif" w:hAnsi="Times New Roman;serif"/>
                  <w:b w:val="false"/>
                  <w:color w:val="000080"/>
                  <w:sz w:val="20"/>
                  <w:u w:val="single"/>
                </w:rPr>
                <w:t xml:space="preserve">Condensed Consolidated Statements of Cash Flows for </w:t>
              </w:r>
            </w:hyperlink>
            <w:hyperlink w:anchor="i74b0127d56964843b04734feec9656f2_22">
              <w:r>
                <w:rPr>
                  <w:rStyle w:val="InternetLink"/>
                  <w:rFonts w:ascii="Times New Roman;serif" w:hAnsi="Times New Roman;serif"/>
                  <w:b w:val="false"/>
                  <w:color w:val="000080"/>
                  <w:sz w:val="20"/>
                  <w:u w:val="single"/>
                </w:rPr>
                <w:t>the three months in</w:t>
              </w:r>
            </w:hyperlink>
            <w:hyperlink w:anchor="i74b0127d56964843b04734feec9656f2_22">
              <w:r>
                <w:rPr>
                  <w:rStyle w:val="InternetLink"/>
                  <w:rFonts w:ascii="Times New Roman;serif" w:hAnsi="Times New Roman;serif"/>
                  <w:b w:val="false"/>
                  <w:color w:val="000080"/>
                  <w:sz w:val="20"/>
                  <w:u w:val="single"/>
                </w:rPr>
                <w:t xml:space="preserve"> each of</w:t>
              </w:r>
            </w:hyperlink>
            <w:hyperlink w:anchor="i74b0127d56964843b04734feec9656f2_22">
              <w:r>
                <w:rPr>
                  <w:rStyle w:val="InternetLink"/>
                  <w:rFonts w:ascii="Times New Roman;serif" w:hAnsi="Times New Roman;serif"/>
                  <w:b w:val="false"/>
                  <w:color w:val="000080"/>
                  <w:sz w:val="20"/>
                  <w:u w:val="single"/>
                </w:rPr>
                <w:t xml:space="preserve"> the periods ended March 31, 2026 and 2025</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22">
              <w:r>
                <w:rPr>
                  <w:rStyle w:val="InternetLink"/>
                  <w:rFonts w:ascii="Times New Roman;serif" w:hAnsi="Times New Roman;serif"/>
                  <w:b w:val="false"/>
                  <w:strike w:val="false"/>
                  <w:dstrike w:val="false"/>
                  <w:color w:val="000000"/>
                  <w:sz w:val="20"/>
                  <w:u w:val="none"/>
                  <w:effect w:val="none"/>
                </w:rPr>
                <w:t>3</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25">
              <w:r>
                <w:rPr>
                  <w:rStyle w:val="InternetLink"/>
                  <w:rFonts w:ascii="Times New Roman;serif" w:hAnsi="Times New Roman;serif"/>
                  <w:b w:val="false"/>
                  <w:color w:val="0000FF"/>
                  <w:sz w:val="20"/>
                  <w:u w:val="single"/>
                </w:rPr>
                <w:t>Condensed Consolidated Statements of Capital Stock and Long-Term Debt as of March 31, 2026 and December 31, 2025</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25">
              <w:r>
                <w:rPr>
                  <w:rStyle w:val="InternetLink"/>
                  <w:rFonts w:ascii="Times New Roman;serif" w:hAnsi="Times New Roman;serif"/>
                  <w:b w:val="false"/>
                  <w:strike w:val="false"/>
                  <w:dstrike w:val="false"/>
                  <w:color w:val="000000"/>
                  <w:sz w:val="20"/>
                  <w:u w:val="none"/>
                  <w:effect w:val="none"/>
                </w:rPr>
                <w:t>4</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28">
              <w:r>
                <w:rPr>
                  <w:rStyle w:val="InternetLink"/>
                  <w:rFonts w:ascii="Times New Roman;serif" w:hAnsi="Times New Roman;serif"/>
                  <w:b w:val="false"/>
                  <w:color w:val="000080"/>
                  <w:sz w:val="20"/>
                  <w:u w:val="single"/>
                </w:rPr>
                <w:t xml:space="preserve">Condensed Consolidated Statements of Common Stockholders’ Equity for </w:t>
              </w:r>
            </w:hyperlink>
            <w:hyperlink w:anchor="i74b0127d56964843b04734feec9656f2_28">
              <w:r>
                <w:rPr>
                  <w:rStyle w:val="InternetLink"/>
                  <w:rFonts w:ascii="Times New Roman;serif" w:hAnsi="Times New Roman;serif"/>
                  <w:b w:val="false"/>
                  <w:color w:val="000080"/>
                  <w:sz w:val="20"/>
                  <w:u w:val="single"/>
                </w:rPr>
                <w:t xml:space="preserve">the three months in </w:t>
              </w:r>
            </w:hyperlink>
            <w:hyperlink w:anchor="i74b0127d56964843b04734feec9656f2_28">
              <w:r>
                <w:rPr>
                  <w:rStyle w:val="InternetLink"/>
                  <w:rFonts w:ascii="Times New Roman;serif" w:hAnsi="Times New Roman;serif"/>
                  <w:b w:val="false"/>
                  <w:color w:val="000080"/>
                  <w:sz w:val="20"/>
                  <w:u w:val="single"/>
                </w:rPr>
                <w:t xml:space="preserve">each of </w:t>
              </w:r>
            </w:hyperlink>
            <w:hyperlink w:anchor="i74b0127d56964843b04734feec9656f2_28">
              <w:r>
                <w:rPr>
                  <w:rStyle w:val="InternetLink"/>
                  <w:rFonts w:ascii="Times New Roman;serif" w:hAnsi="Times New Roman;serif"/>
                  <w:b w:val="false"/>
                  <w:color w:val="000080"/>
                  <w:sz w:val="20"/>
                  <w:u w:val="single"/>
                </w:rPr>
                <w:t>the periods ended March 31, 2026 and 2025</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28">
              <w:r>
                <w:rPr>
                  <w:rStyle w:val="InternetLink"/>
                  <w:rFonts w:ascii="Times New Roman;serif" w:hAnsi="Times New Roman;serif"/>
                  <w:b w:val="false"/>
                  <w:strike w:val="false"/>
                  <w:dstrike w:val="false"/>
                  <w:color w:val="000000"/>
                  <w:sz w:val="20"/>
                  <w:u w:val="none"/>
                  <w:effect w:val="none"/>
                </w:rPr>
                <w:t>5</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31">
              <w:r>
                <w:rPr>
                  <w:rStyle w:val="InternetLink"/>
                  <w:rFonts w:ascii="Times New Roman;serif" w:hAnsi="Times New Roman;serif"/>
                  <w:b w:val="false"/>
                  <w:color w:val="0000FF"/>
                  <w:sz w:val="20"/>
                  <w:u w:val="single"/>
                </w:rPr>
                <w:t>Notes to Unaudited Condensed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31">
              <w:r>
                <w:rPr>
                  <w:rStyle w:val="InternetLink"/>
                  <w:rFonts w:ascii="Times New Roman;serif" w:hAnsi="Times New Roman;serif"/>
                  <w:b w:val="false"/>
                  <w:strike w:val="false"/>
                  <w:dstrike w:val="false"/>
                  <w:color w:val="000000"/>
                  <w:sz w:val="20"/>
                  <w:u w:val="none"/>
                  <w:effect w:val="none"/>
                </w:rPr>
                <w:t>6</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64">
              <w:r>
                <w:rPr>
                  <w:rStyle w:val="InternetLink"/>
                  <w:rFonts w:ascii="Times New Roman;serif" w:hAnsi="Times New Roman;serif"/>
                  <w:b w:val="false"/>
                  <w:strike w:val="false"/>
                  <w:dstrike w:val="false"/>
                  <w:color w:val="000000"/>
                  <w:sz w:val="20"/>
                  <w:u w:val="none"/>
                  <w:effect w:val="none"/>
                </w:rPr>
                <w:t>Item 2.</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6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64">
              <w:r>
                <w:rPr>
                  <w:rStyle w:val="InternetLink"/>
                  <w:rFonts w:ascii="Times New Roman;serif" w:hAnsi="Times New Roman;serif"/>
                  <w:b w:val="false"/>
                  <w:strike w:val="false"/>
                  <w:dstrike w:val="false"/>
                  <w:color w:val="000000"/>
                  <w:sz w:val="20"/>
                  <w:u w:val="none"/>
                  <w:effect w:val="none"/>
                </w:rPr>
                <w:t>17</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85">
              <w:r>
                <w:rPr>
                  <w:rStyle w:val="InternetLink"/>
                  <w:rFonts w:ascii="Times New Roman;serif" w:hAnsi="Times New Roman;serif"/>
                  <w:b w:val="false"/>
                  <w:strike w:val="false"/>
                  <w:dstrike w:val="false"/>
                  <w:color w:val="000000"/>
                  <w:sz w:val="20"/>
                  <w:u w:val="none"/>
                  <w:effect w:val="none"/>
                </w:rPr>
                <w:t>Item 3.</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85">
              <w:r>
                <w:rPr>
                  <w:rStyle w:val="InternetLink"/>
                  <w:rFonts w:ascii="Times New Roman;serif" w:hAnsi="Times New Roman;serif"/>
                  <w:b w:val="false"/>
                  <w:color w:val="0000FF"/>
                  <w:sz w:val="20"/>
                  <w:u w:val="single"/>
                </w:rPr>
                <w:t>Quantitative and Qualitative Disclosures of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85">
              <w:r>
                <w:rPr>
                  <w:rStyle w:val="InternetLink"/>
                  <w:rFonts w:ascii="Times New Roman;serif" w:hAnsi="Times New Roman;serif"/>
                  <w:b w:val="false"/>
                  <w:strike w:val="false"/>
                  <w:dstrike w:val="false"/>
                  <w:color w:val="000000"/>
                  <w:sz w:val="20"/>
                  <w:u w:val="none"/>
                  <w:effect w:val="none"/>
                </w:rPr>
                <w:t>23</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88">
              <w:r>
                <w:rPr>
                  <w:rStyle w:val="InternetLink"/>
                  <w:rFonts w:ascii="Times New Roman;serif" w:hAnsi="Times New Roman;serif"/>
                  <w:b w:val="false"/>
                  <w:strike w:val="false"/>
                  <w:dstrike w:val="false"/>
                  <w:color w:val="000000"/>
                  <w:sz w:val="20"/>
                  <w:u w:val="none"/>
                  <w:effect w:val="none"/>
                </w:rPr>
                <w:t>Item 4.</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88">
              <w:r>
                <w:rPr>
                  <w:rStyle w:val="InternetLink"/>
                  <w:rFonts w:ascii="Times New Roman;serif" w:hAnsi="Times New Roman;serif"/>
                  <w:b w:val="false"/>
                  <w:color w:val="0000FF"/>
                  <w:sz w:val="20"/>
                  <w:u w:val="single"/>
                </w:rPr>
                <w:t>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88">
              <w:r>
                <w:rPr>
                  <w:rStyle w:val="InternetLink"/>
                  <w:rFonts w:ascii="Times New Roman;serif" w:hAnsi="Times New Roman;serif"/>
                  <w:b w:val="false"/>
                  <w:strike w:val="false"/>
                  <w:dstrike w:val="false"/>
                  <w:color w:val="000000"/>
                  <w:sz w:val="20"/>
                  <w:u w:val="none"/>
                  <w:effect w:val="none"/>
                </w:rPr>
                <w:t>24</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91">
              <w:r>
                <w:rPr>
                  <w:rStyle w:val="InternetLink"/>
                  <w:rFonts w:ascii="Times New Roman;serif" w:hAnsi="Times New Roman;serif"/>
                  <w:b/>
                  <w:strike w:val="false"/>
                  <w:dstrike w:val="false"/>
                  <w:color w:val="000000"/>
                  <w:sz w:val="20"/>
                  <w:u w:val="none"/>
                  <w:effect w:val="none"/>
                </w:rPr>
                <w:t>PART II.</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91">
              <w:r>
                <w:rPr>
                  <w:rStyle w:val="InternetLink"/>
                  <w:rFonts w:ascii="Times New Roman;serif" w:hAnsi="Times New Roman;serif"/>
                  <w:b/>
                  <w:color w:val="0000FF"/>
                  <w:sz w:val="20"/>
                  <w:u w:val="single"/>
                </w:rPr>
                <w:t>OTHER INFORMATION</w:t>
              </w:r>
            </w:hyperlink>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94">
              <w:r>
                <w:rPr>
                  <w:rStyle w:val="InternetLink"/>
                  <w:rFonts w:ascii="Times New Roman;serif" w:hAnsi="Times New Roman;serif"/>
                  <w:b w:val="false"/>
                  <w:strike w:val="false"/>
                  <w:dstrike w:val="false"/>
                  <w:color w:val="000000"/>
                  <w:sz w:val="20"/>
                  <w:u w:val="none"/>
                  <w:effect w:val="none"/>
                </w:rPr>
                <w:t>Item 1.</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94">
              <w:r>
                <w:rPr>
                  <w:rStyle w:val="InternetLink"/>
                  <w:rFonts w:ascii="Times New Roman;serif" w:hAnsi="Times New Roman;serif"/>
                  <w:b w:val="false"/>
                  <w:color w:val="0000FF"/>
                  <w:sz w:val="20"/>
                  <w:u w:val="single"/>
                </w:rPr>
                <w:t>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94">
              <w:r>
                <w:rPr>
                  <w:rStyle w:val="InternetLink"/>
                  <w:rFonts w:ascii="Times New Roman;serif" w:hAnsi="Times New Roman;serif"/>
                  <w:b w:val="false"/>
                  <w:strike w:val="false"/>
                  <w:dstrike w:val="false"/>
                  <w:color w:val="000000"/>
                  <w:sz w:val="20"/>
                  <w:u w:val="none"/>
                  <w:effect w:val="none"/>
                </w:rPr>
                <w:t>25</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97">
              <w:r>
                <w:rPr>
                  <w:rStyle w:val="InternetLink"/>
                  <w:rFonts w:ascii="Times New Roman;serif" w:hAnsi="Times New Roman;serif"/>
                  <w:b w:val="false"/>
                  <w:strike w:val="false"/>
                  <w:dstrike w:val="false"/>
                  <w:color w:val="000000"/>
                  <w:sz w:val="20"/>
                  <w:u w:val="none"/>
                  <w:effect w:val="none"/>
                </w:rPr>
                <w:t>Item 1A.</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97">
              <w:r>
                <w:rPr>
                  <w:rStyle w:val="InternetLink"/>
                  <w:rFonts w:ascii="Times New Roman;serif" w:hAnsi="Times New Roman;serif"/>
                  <w:b w:val="false"/>
                  <w:color w:val="0000FF"/>
                  <w:sz w:val="20"/>
                  <w:u w:val="single"/>
                </w:rPr>
                <w:t>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97">
              <w:r>
                <w:rPr>
                  <w:rStyle w:val="InternetLink"/>
                  <w:rFonts w:ascii="Times New Roman;serif" w:hAnsi="Times New Roman;serif"/>
                  <w:b w:val="false"/>
                  <w:strike w:val="false"/>
                  <w:dstrike w:val="false"/>
                  <w:color w:val="000000"/>
                  <w:sz w:val="20"/>
                  <w:u w:val="none"/>
                  <w:effect w:val="none"/>
                </w:rPr>
                <w:t>25</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0">
              <w:r>
                <w:rPr>
                  <w:rStyle w:val="InternetLink"/>
                  <w:rFonts w:ascii="Times New Roman;serif" w:hAnsi="Times New Roman;serif"/>
                  <w:b w:val="false"/>
                  <w:strike w:val="false"/>
                  <w:dstrike w:val="false"/>
                  <w:color w:val="000000"/>
                  <w:sz w:val="20"/>
                  <w:u w:val="none"/>
                  <w:effect w:val="none"/>
                </w:rPr>
                <w:t>Item 2.</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0">
              <w:r>
                <w:rPr>
                  <w:rStyle w:val="InternetLink"/>
                  <w:rFonts w:ascii="Times New Roman;serif" w:hAnsi="Times New Roman;serif"/>
                  <w:b w:val="false"/>
                  <w:color w:val="0000FF"/>
                  <w:sz w:val="20"/>
                  <w:u w:val="single"/>
                </w:rPr>
                <w:t>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100">
              <w:r>
                <w:rPr>
                  <w:rStyle w:val="InternetLink"/>
                  <w:rFonts w:ascii="Times New Roman;serif" w:hAnsi="Times New Roman;serif"/>
                  <w:b w:val="false"/>
                  <w:strike w:val="false"/>
                  <w:dstrike w:val="false"/>
                  <w:color w:val="000000"/>
                  <w:sz w:val="20"/>
                  <w:u w:val="none"/>
                  <w:effect w:val="none"/>
                </w:rPr>
                <w:t>25</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3">
              <w:r>
                <w:rPr>
                  <w:rStyle w:val="InternetLink"/>
                  <w:rFonts w:ascii="Times New Roman;serif" w:hAnsi="Times New Roman;serif"/>
                  <w:b w:val="false"/>
                  <w:strike w:val="false"/>
                  <w:dstrike w:val="false"/>
                  <w:color w:val="000000"/>
                  <w:sz w:val="20"/>
                  <w:u w:val="none"/>
                  <w:effect w:val="none"/>
                </w:rPr>
                <w:t>Item 3.</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3">
              <w:r>
                <w:rPr>
                  <w:rStyle w:val="InternetLink"/>
                  <w:rFonts w:ascii="Times New Roman;serif" w:hAnsi="Times New Roman;serif"/>
                  <w:b w:val="false"/>
                  <w:color w:val="0000FF"/>
                  <w:sz w:val="20"/>
                  <w:u w:val="single"/>
                </w:rPr>
                <w:t>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103">
              <w:r>
                <w:rPr>
                  <w:rStyle w:val="InternetLink"/>
                  <w:rFonts w:ascii="Times New Roman;serif" w:hAnsi="Times New Roman;serif"/>
                  <w:b w:val="false"/>
                  <w:strike w:val="false"/>
                  <w:dstrike w:val="false"/>
                  <w:color w:val="000000"/>
                  <w:sz w:val="20"/>
                  <w:u w:val="none"/>
                  <w:effect w:val="none"/>
                </w:rPr>
                <w:t>25</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6">
              <w:r>
                <w:rPr>
                  <w:rStyle w:val="InternetLink"/>
                  <w:rFonts w:ascii="Times New Roman;serif" w:hAnsi="Times New Roman;serif"/>
                  <w:b w:val="false"/>
                  <w:strike w:val="false"/>
                  <w:dstrike w:val="false"/>
                  <w:color w:val="000000"/>
                  <w:sz w:val="20"/>
                  <w:u w:val="none"/>
                  <w:effect w:val="none"/>
                </w:rPr>
                <w:t>Item 4.</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6">
              <w:r>
                <w:rPr>
                  <w:rStyle w:val="InternetLink"/>
                  <w:rFonts w:ascii="Times New Roman;serif" w:hAnsi="Times New Roman;serif"/>
                  <w:b w:val="false"/>
                  <w:color w:val="0000FF"/>
                  <w:sz w:val="20"/>
                  <w:u w:val="single"/>
                </w:rPr>
                <w:t>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106">
              <w:r>
                <w:rPr>
                  <w:rStyle w:val="InternetLink"/>
                  <w:rFonts w:ascii="Times New Roman;serif" w:hAnsi="Times New Roman;serif"/>
                  <w:b w:val="false"/>
                  <w:strike w:val="false"/>
                  <w:dstrike w:val="false"/>
                  <w:color w:val="000000"/>
                  <w:sz w:val="20"/>
                  <w:u w:val="none"/>
                  <w:effect w:val="none"/>
                </w:rPr>
                <w:t>25</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9">
              <w:r>
                <w:rPr>
                  <w:rStyle w:val="InternetLink"/>
                  <w:rFonts w:ascii="Times New Roman;serif" w:hAnsi="Times New Roman;serif"/>
                  <w:b w:val="false"/>
                  <w:strike w:val="false"/>
                  <w:dstrike w:val="false"/>
                  <w:color w:val="000000"/>
                  <w:sz w:val="20"/>
                  <w:u w:val="none"/>
                  <w:effect w:val="none"/>
                </w:rPr>
                <w:t>Item 5.</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09">
              <w:r>
                <w:rPr>
                  <w:rStyle w:val="InternetLink"/>
                  <w:rFonts w:ascii="Times New Roman;serif" w:hAnsi="Times New Roman;serif"/>
                  <w:b w:val="false"/>
                  <w:color w:val="0000FF"/>
                  <w:sz w:val="20"/>
                  <w:u w:val="single"/>
                </w:rPr>
                <w:t>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109">
              <w:r>
                <w:rPr>
                  <w:rStyle w:val="InternetLink"/>
                  <w:rFonts w:ascii="Times New Roman;serif" w:hAnsi="Times New Roman;serif"/>
                  <w:b w:val="false"/>
                  <w:strike w:val="false"/>
                  <w:dstrike w:val="false"/>
                  <w:color w:val="000000"/>
                  <w:sz w:val="20"/>
                  <w:u w:val="none"/>
                  <w:effect w:val="none"/>
                </w:rPr>
                <w:t>25</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12">
              <w:r>
                <w:rPr>
                  <w:rStyle w:val="InternetLink"/>
                  <w:rFonts w:ascii="Times New Roman;serif" w:hAnsi="Times New Roman;serif"/>
                  <w:b w:val="false"/>
                  <w:strike w:val="false"/>
                  <w:dstrike w:val="false"/>
                  <w:color w:val="000000"/>
                  <w:sz w:val="20"/>
                  <w:u w:val="none"/>
                  <w:effect w:val="none"/>
                </w:rPr>
                <w:t>Item 6.</w:t>
              </w:r>
            </w:hyperlink>
          </w:p>
        </w:tc>
        <w:tc>
          <w:tcPr>
            <w:tcW w:w="87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12">
              <w:r>
                <w:rPr>
                  <w:rStyle w:val="InternetLink"/>
                  <w:rFonts w:ascii="Times New Roman;serif" w:hAnsi="Times New Roman;serif"/>
                  <w:b w:val="false"/>
                  <w:color w:val="0000FF"/>
                  <w:sz w:val="20"/>
                  <w:u w:val="single"/>
                </w:rPr>
                <w:t>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112">
              <w:r>
                <w:rPr>
                  <w:rStyle w:val="InternetLink"/>
                  <w:rFonts w:ascii="Times New Roman;serif" w:hAnsi="Times New Roman;serif"/>
                  <w:b w:val="false"/>
                  <w:strike w:val="false"/>
                  <w:dstrike w:val="false"/>
                  <w:color w:val="000000"/>
                  <w:sz w:val="20"/>
                  <w:u w:val="none"/>
                  <w:effect w:val="none"/>
                </w:rPr>
                <w:t>26</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74b0127d56964843b04734feec9656f2_115">
              <w:r>
                <w:rPr>
                  <w:rStyle w:val="InternetLink"/>
                  <w:rFonts w:ascii="Times New Roman;serif" w:hAnsi="Times New Roman;serif"/>
                  <w:b/>
                  <w:strike w:val="false"/>
                  <w:dstrike w:val="false"/>
                  <w:color w:val="000000"/>
                  <w:sz w:val="20"/>
                  <w:u w:val="none"/>
                  <w:effect w:val="none"/>
                </w:rPr>
                <w:t>SIGNATURES</w:t>
              </w:r>
            </w:hyperlink>
          </w:p>
        </w:tc>
        <w:tc>
          <w:tcPr>
            <w:tcW w:w="69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4b0127d56964843b04734feec9656f2_115">
              <w:r>
                <w:rPr>
                  <w:rStyle w:val="InternetLink"/>
                  <w:rFonts w:ascii="Times New Roman;serif" w:hAnsi="Times New Roman;serif"/>
                  <w:b w:val="false"/>
                  <w:strike w:val="false"/>
                  <w:dstrike w:val="false"/>
                  <w:color w:val="000000"/>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6443" w:type="dxa"/>
        <w:jc w:val="left"/>
        <w:tblInd w:w="0" w:type="dxa"/>
        <w:tblLayout w:type="fixed"/>
        <w:tblCellMar>
          <w:top w:w="28" w:type="dxa"/>
          <w:left w:w="28" w:type="dxa"/>
          <w:bottom w:w="28" w:type="dxa"/>
          <w:right w:w="28" w:type="dxa"/>
        </w:tblCellMar>
      </w:tblPr>
      <w:tblGrid>
        <w:gridCol w:w="1440"/>
        <w:gridCol w:w="1264"/>
        <w:gridCol w:w="1270"/>
        <w:gridCol w:w="211"/>
        <w:gridCol w:w="736"/>
        <w:gridCol w:w="109"/>
        <w:gridCol w:w="109"/>
        <w:gridCol w:w="109"/>
        <w:gridCol w:w="109"/>
        <w:gridCol w:w="211"/>
        <w:gridCol w:w="721"/>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48,714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35,612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Requirements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of Common Stock:</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17,890</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17,951</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714"/>
        <w:gridCol w:w="630"/>
        <w:gridCol w:w="599"/>
        <w:gridCol w:w="109"/>
        <w:gridCol w:w="109"/>
        <w:gridCol w:w="109"/>
        <w:gridCol w:w="1715"/>
        <w:gridCol w:w="1292"/>
        <w:gridCol w:w="1292"/>
        <w:gridCol w:w="109"/>
        <w:gridCol w:w="109"/>
        <w:gridCol w:w="109"/>
        <w:gridCol w:w="211"/>
        <w:gridCol w:w="991"/>
        <w:gridCol w:w="109"/>
        <w:gridCol w:w="109"/>
        <w:gridCol w:w="109"/>
        <w:gridCol w:w="109"/>
        <w:gridCol w:w="211"/>
        <w:gridCol w:w="976"/>
        <w:gridCol w:w="109"/>
        <w:gridCol w:w="109"/>
        <w:gridCol w:w="109"/>
        <w:gridCol w:w="157"/>
      </w:tblGrid>
      <w:tr>
        <w:trPr/>
        <w:tc>
          <w:tcPr>
            <w:tcW w:w="7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UTILITY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Water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333,738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and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954,107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49,593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1,445,221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276,456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1,168,765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$1,873 and $1,625 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 (at average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46,827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Non-utility Assets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12,454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45,041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170,446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1,386,038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 AND LIABILITIES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authorized 40,000, issued 18,577 and 18,521 in 2026 and 2025, respectively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282,243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218,803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501,046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authorized 120; issued 13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371,676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874,065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Revenues and Advanced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119,655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 (Note 7)</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for Construction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200,328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CONTRIBUTIONS IN AID OF CONSTRUCTION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191,990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AND LIABILITIES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1,386,038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70"/>
        <w:gridCol w:w="2139"/>
        <w:gridCol w:w="2149"/>
        <w:gridCol w:w="109"/>
        <w:gridCol w:w="109"/>
        <w:gridCol w:w="109"/>
        <w:gridCol w:w="249"/>
        <w:gridCol w:w="872"/>
        <w:gridCol w:w="129"/>
        <w:gridCol w:w="129"/>
        <w:gridCol w:w="129"/>
        <w:gridCol w:w="129"/>
        <w:gridCol w:w="249"/>
        <w:gridCol w:w="730"/>
        <w:gridCol w:w="129"/>
        <w:gridCol w:w="109"/>
        <w:gridCol w:w="109"/>
        <w:gridCol w:w="157"/>
      </w:tblGrid>
      <w:tr>
        <w:trPr/>
        <w:tc>
          <w:tcPr>
            <w:tcW w:w="247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10,605</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8,187</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Deferred Income Taxes and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(2,072)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Portion of Allowance for Funds Used During Construction (AFUDC)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Surrender Value of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523</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&amp;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(3,143)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(2,132)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6,124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(1,199)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&amp; Advanced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(3,677)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11,731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Utility Plant Expenditures, Including AFUDC-Debt of $249 in 2026 and $154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(20,641)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(20,641)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(8,904)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1,496</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Short-term Bank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Grantee Withholding Taxes in Exchange for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2,819</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Common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(6,667)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Advances and Contributions-Net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799</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8,150</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CASH, CASH EQUIVALENTS AND RESTRICTED CASH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(760)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4,475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3,715</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CAPITAL STOCK AND LONG-TERM DEBT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8068" w:type="dxa"/>
        <w:jc w:val="left"/>
        <w:tblInd w:w="0" w:type="dxa"/>
        <w:tblLayout w:type="fixed"/>
        <w:tblCellMar>
          <w:top w:w="28" w:type="dxa"/>
          <w:left w:w="28" w:type="dxa"/>
          <w:bottom w:w="28" w:type="dxa"/>
          <w:right w:w="28" w:type="dxa"/>
        </w:tblCellMar>
      </w:tblPr>
      <w:tblGrid>
        <w:gridCol w:w="1790"/>
        <w:gridCol w:w="1574"/>
        <w:gridCol w:w="1585"/>
        <w:gridCol w:w="109"/>
        <w:gridCol w:w="109"/>
        <w:gridCol w:w="109"/>
        <w:gridCol w:w="211"/>
        <w:gridCol w:w="841"/>
        <w:gridCol w:w="109"/>
        <w:gridCol w:w="109"/>
        <w:gridCol w:w="109"/>
        <w:gridCol w:w="109"/>
        <w:gridCol w:w="231"/>
        <w:gridCol w:w="905"/>
        <w:gridCol w:w="168"/>
      </w:tblGrid>
      <w:tr>
        <w:trPr/>
        <w:tc>
          <w:tcPr>
            <w:tcW w:w="179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Shares Authorized - 40,000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Shares Outstanding -2026 - 18,577; 2025 - 18,521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282,243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218,803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214,883</w:t>
            </w:r>
          </w:p>
        </w:tc>
      </w:tr>
      <w:tr>
        <w:trPr/>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501,046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494,031 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Preferred Stock, No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Authorized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-2026 -13; 2025 - 13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Shares Outstanding, $7.00 Series - 2026 - 2; 2025 - 2;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$7.00 Series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$4.75 Series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PREFERRED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Mortgage Bonds, 0.00%-5.99%, due 2026-2059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Secured Notes, 3.94%-7.05%, due 2028-2046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Revolving Trust Notes, 0.00%-4.03%, due 2026-2047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LONG-TERM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378,275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385,683 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Premium on Issuance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371,676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378,874 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COMMON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000" w:type="dxa"/>
        <w:jc w:val="left"/>
        <w:tblInd w:w="0" w:type="dxa"/>
        <w:tblLayout w:type="fixed"/>
        <w:tblCellMar>
          <w:top w:w="28" w:type="dxa"/>
          <w:left w:w="28" w:type="dxa"/>
          <w:bottom w:w="28" w:type="dxa"/>
          <w:right w:w="28" w:type="dxa"/>
        </w:tblCellMar>
      </w:tblPr>
      <w:tblGrid>
        <w:gridCol w:w="1713"/>
        <w:gridCol w:w="1500"/>
        <w:gridCol w:w="1512"/>
        <w:gridCol w:w="255"/>
        <w:gridCol w:w="255"/>
        <w:gridCol w:w="256"/>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&amp; Common Stock Purchase Plan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-Net-Employees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$7 Preferred Stock to Common Stock</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($0.3400 Per Share)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&amp; Common Stock Purchase Plan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-Net-Employees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Program Common Stock Issuance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($0.3600 Per Share)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18,577</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282,243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218,803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501,046</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 Basis of Presentation and Recent Developments</w:t>
      </w:r>
    </w:p>
    <w:p>
      <w:pPr>
        <w:pStyle w:val="TextBody"/>
        <w:bidi w:val="0"/>
        <w:spacing w:lineRule="auto" w:line="288" w:before="0" w:after="240"/>
        <w:jc w:val="both"/>
        <w:rPr/>
      </w:pPr>
      <w:r>
        <w:rPr>
          <w:rFonts w:ascii="Times New Roman;serif" w:hAnsi="Times New Roman;serif"/>
          <w:b w:val="false"/>
          <w:color w:val="000000"/>
          <w:sz w:val="20"/>
        </w:rPr>
        <w:t xml:space="preserve">Middlesex Water Company (Middlesex or the Company) is the parent company and sole shareholder of Tidewater Utilities, Inc. (Tidewater), Utility Service Affiliates, Inc. (USA), and Utility Service Affiliates (Perth Amboy) Inc. (USA-PA). Southern Shores Water Company, LLC (Southern Shores) and White Marsh Environmental Systems, Inc. (White Marsh) are wholly-owned subsidiaries of Tidewater. Pinelands Water Company (Pinelands Water) and Pinelands Wastewater Company (Pinelands Wastewater) (collectively, Pinelands), previously subsidiaries of Middlesex, were merged into Middlesex effective April 1, 2026 (for further information,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The financial statements for Middlesex and its wholly-owned subsidiaries are reported on a consolidated basis. All significant intercompany accounts and transactions have been eliminated.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consolidated notes within the 2025 Annual Report on Form 10-K (the 2025 Form 10-K) are applicable to these financial statements and, in the opinion of the Company, the accompanying unaudited condensed consolidated financial statements contain all adjustments necessary (including normal recurring accruals) to fairly state the Company’s financial position as of March 31, 2026, and the results of operations and cash flows for the three month periods ended March 31, 2026 and 2025. Information included in the Condensed Consolidated Balance Sheet as of December 31, 2025, has been derived from the Company’s December 31, 2025 audited financial statements included in the 2025 Form 10-K.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Recent Accounting Guidance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recently issued accounting standards that have not yet been adopted by the Company as of March 31, 2026 are as follows:</w:t>
      </w:r>
    </w:p>
    <w:tbl>
      <w:tblPr>
        <w:tblW w:w="10205" w:type="dxa"/>
        <w:jc w:val="left"/>
        <w:tblInd w:w="0" w:type="dxa"/>
        <w:tblLayout w:type="fixed"/>
        <w:tblCellMar>
          <w:top w:w="28" w:type="dxa"/>
          <w:left w:w="28" w:type="dxa"/>
          <w:bottom w:w="28" w:type="dxa"/>
          <w:right w:w="28" w:type="dxa"/>
        </w:tblCellMar>
      </w:tblPr>
      <w:tblGrid>
        <w:gridCol w:w="654"/>
        <w:gridCol w:w="576"/>
        <w:gridCol w:w="581"/>
        <w:gridCol w:w="1265"/>
        <w:gridCol w:w="1265"/>
        <w:gridCol w:w="1277"/>
        <w:gridCol w:w="540"/>
        <w:gridCol w:w="470"/>
        <w:gridCol w:w="471"/>
        <w:gridCol w:w="488"/>
        <w:gridCol w:w="488"/>
        <w:gridCol w:w="493"/>
        <w:gridCol w:w="497"/>
        <w:gridCol w:w="468"/>
        <w:gridCol w:w="672"/>
      </w:tblGrid>
      <w:tr>
        <w:trPr/>
        <w:tc>
          <w:tcPr>
            <w:tcW w:w="65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Standard</w:t>
            </w:r>
          </w:p>
        </w:tc>
        <w:tc>
          <w:tcPr>
            <w:tcW w:w="380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148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14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Application</w:t>
            </w:r>
          </w:p>
        </w:tc>
        <w:tc>
          <w:tcPr>
            <w:tcW w:w="163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Effect on the</w:t>
              <w:br/>
              <w:t> Condensed</w:t>
              <w:br/>
              <w:t xml:space="preserve"> Consolidated </w:t>
              <w:br/>
              <w:t> Financial Statements</w:t>
            </w:r>
          </w:p>
        </w:tc>
      </w:tr>
      <w:tr>
        <w:trPr/>
        <w:tc>
          <w:tcPr>
            <w:tcW w:w="18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 (ASU) 2024-03 “Disaggregation of Income Statement Expenses”</w:t>
            </w:r>
          </w:p>
        </w:tc>
        <w:tc>
          <w:tcPr>
            <w:tcW w:w="380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ASU enhances disclosures related to income statement expenses to further disaggregate expenses in the footnotes to the financial statements. The standard requires disaggregation of any relevant expense caption presented on the face of the income statement that contains the following expense categories: purchases of inventory, employee compensation, depreciation, intangible asset amortization, and depletion. Further, the standard requires disclosure of the total amount and the entity’s definition of selling expenses.</w:t>
            </w:r>
          </w:p>
        </w:tc>
        <w:tc>
          <w:tcPr>
            <w:tcW w:w="14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ASU is effective for the Company beginning with its annual financial statements for the year ending December 31, 2027. </w:t>
            </w:r>
          </w:p>
        </w:tc>
        <w:tc>
          <w:tcPr>
            <w:tcW w:w="146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1637"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of ASU 2024-03 on its Consolidated Financial Statements.</w:t>
            </w:r>
          </w:p>
        </w:tc>
      </w:tr>
      <w:tr>
        <w:trPr/>
        <w:tc>
          <w:tcPr>
            <w:tcW w:w="181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"Internal-Use Software"</w:t>
            </w:r>
          </w:p>
        </w:tc>
        <w:tc>
          <w:tcPr>
            <w:tcW w:w="380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removes all reference to prescriptive and sequential software development stages, requiring an entity to start capitalizing software costs when the following criteria are both met: (i) management has authorized and committed to funding the software project and (ii) it is probable that the project will be completed and the software will be used to perform the function intended. Further, the standard requires disclosure for all capitalized internal-use software costs and removes the requirement for intangibles disclosures for capitalized internal-use software.</w:t>
            </w:r>
          </w:p>
        </w:tc>
        <w:tc>
          <w:tcPr>
            <w:tcW w:w="148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ASU is effective for the Company beginning with its annual financial statements for the year ending December 31, 2028.</w:t>
            </w:r>
          </w:p>
        </w:tc>
        <w:tc>
          <w:tcPr>
            <w:tcW w:w="146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a modified transition or retrospective application also permitted.</w:t>
            </w:r>
          </w:p>
        </w:tc>
        <w:tc>
          <w:tcPr>
            <w:tcW w:w="1637"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of ASU 2025-06 on its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 Rates and Regulatory Matters</w:t>
      </w:r>
    </w:p>
    <w:p>
      <w:pPr>
        <w:pStyle w:val="TextBody"/>
        <w:bidi w:val="0"/>
        <w:spacing w:lineRule="auto" w:line="288" w:before="0" w:after="240"/>
        <w:jc w:val="both"/>
        <w:rPr/>
      </w:pPr>
      <w:r>
        <w:rPr>
          <w:rFonts w:ascii="Times New Roman;serif" w:hAnsi="Times New Roman;serif"/>
          <w:b/>
          <w:i/>
          <w:color w:val="000000"/>
          <w:sz w:val="20"/>
        </w:rPr>
        <w:t>Middlesex</w:t>
      </w:r>
      <w:r>
        <w:rPr>
          <w:color w:val="000000"/>
        </w:rPr>
        <w:t xml:space="preserve"> </w:t>
      </w:r>
      <w:r>
        <w:rPr>
          <w:rFonts w:ascii="Times New Roman;serif" w:hAnsi="Times New Roman;serif"/>
          <w:b/>
          <w:i/>
          <w:color w:val="000000"/>
          <w:sz w:val="20"/>
        </w:rPr>
        <w:t>Rate Matters</w:t>
      </w:r>
    </w:p>
    <w:p>
      <w:pPr>
        <w:pStyle w:val="TextBody"/>
        <w:bidi w:val="0"/>
        <w:spacing w:lineRule="auto" w:line="288" w:before="0" w:after="240"/>
        <w:jc w:val="both"/>
        <w:rPr/>
      </w:pPr>
      <w:r>
        <w:rPr>
          <w:rFonts w:ascii="Times New Roman;serif" w:hAnsi="Times New Roman;serif"/>
          <w:b w:val="false"/>
          <w:color w:val="000000"/>
          <w:sz w:val="20"/>
        </w:rPr>
        <w:t xml:space="preserve">In February 2026, the New Jersey Board of Public Utilities (NJBPU) approved the settlement agreement in our general base rate application between Middlesex and Pinelands, NJBPU Staff and the New Jersey Division of Rate Counsel, with new rates effective February 23, 2026. The NJBPU order approved an increase in our annual operating revenues by $14.5 million based on an authorized return on common equity of 9.6% and a common equity ratio of 54.25%. Included in the settlement agreement, Middlesex and Pinelands customers received a one-time bill credit in the first quarter of 2026 totaling $3.3 million for the overcollection of New Jersey Gross Receipts Taxes. In addition, beginning in late February 2026, Middlesex customers will receive a $3.3 million credit over 12 months from the proceeds of a multi-district litigation (MDL) settlement agreement between Middlesex and manufacturers of Perfluoroalkyl Substances (PFAS) (for further information on the MDL settlement, see </w:t>
      </w:r>
      <w:r>
        <w:rPr>
          <w:rFonts w:ascii="Times New Roman;serif" w:hAnsi="Times New Roman;serif"/>
          <w:b w:val="false"/>
          <w:i/>
          <w:color w:val="000000"/>
          <w:sz w:val="20"/>
        </w:rPr>
        <w:t xml:space="preserve">MDL Settlement </w:t>
      </w:r>
      <w:r>
        <w:rPr>
          <w:rFonts w:ascii="Times New Roman;serif" w:hAnsi="Times New Roman;serif"/>
          <w:b w:val="false"/>
          <w:color w:val="000000"/>
          <w:sz w:val="20"/>
        </w:rPr>
        <w:t>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NJBPU approved the joint petition filed by Middlesex and Pinelands for a Resiliency and Environmental System Improvement Charge (RESIC) Foundational Filing for the three-year period ending October 2028. The program allows for the recovery of certain costs of investments that further maintain, enhance, or improve the resiliency, health, safety, or environmental protection for Middlesex and Pinelands customers or broader public health. RESIC activities include compliance with requirements to address existing and emerging chemical elements and compounds, treatment media and related equipment, installation of new plant or equipment, or replacement of existing plant or equipment. Under the RESIC program, Middlesex and Pinelands submit semi-annual surcharge filings to the NJBPU for qualifying capital investments completed every six months to be recovered up to $3.6 million or 2.5% of total annual revenues included in their February 2026 base rate increase.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NJBPU approved the joint petition filed by Middlesex and Pinelands Water for a Distribution System Improvement Charge (DSIC) Foundational Filing, which allows for the recovery of investments in qualifying capital improvements to their water distribution system for the three-year period ending October 2028. Under the DSIC program, Middlesex and Pinelands Water submit semi-annual surcharge filings to the NJBPU for qualifying capital investments completed every six months to be recovered up to $7.1 million or 5% of total annual revenues included in their February 2026 base rate increase.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2026, the NJBPU approved the joint petition filed by Middlesex, Pinelands Water and Pinelands Wastewater to consolidate the three entities into Middlesex through a corporate reorganization. The merger of Pinelands Water and Pinelands Wastewater into Middlesex is expected to deliver operational efficiencies and enhanced benefits for customers across multiple areas. The merger has been finalized and was effective on April 1,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November 2025, the NJBPU approved the fourth Middlesex DSIC rate, effective December 1, 2025 that was expected to result in $0.9 million of annual revenues, which is in addition to the existing $2.3 million of annual revenues from previous DSIC filings. Middlesex's DSIC rate reset to zero in connection with Middlesex's February 2026 base rate increase.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NJBPU-approved Middlesex Lead Service Line Replacement (LSLR) Plan continues, and costs of $0.4 million for replacing customer-owned lead service lines incurred from January 2025 through June 2025 were recovered between September 2025 and February 2026. Costs of $0.3 million incurred from July 2025 through December 2025 are expected to be recovered between March 2026 and August 2026. The LSLR surcharge is required to be reset every six months over the life of the LSLR Plan. Cost recovery for replacing Company-owned lead service lines are recoverable through traditional rate making in connection with general rate case filings.</w:t>
      </w:r>
    </w:p>
    <w:p>
      <w:pPr>
        <w:pStyle w:val="TextBody"/>
        <w:bidi w:val="0"/>
        <w:spacing w:lineRule="auto" w:line="288" w:before="0" w:after="240"/>
        <w:jc w:val="both"/>
        <w:rPr/>
      </w:pPr>
      <w:r>
        <w:rPr>
          <w:rFonts w:ascii="Times New Roman;serif" w:hAnsi="Times New Roman;serif"/>
          <w:b/>
          <w:i/>
          <w:color w:val="000000"/>
          <w:sz w:val="20"/>
        </w:rPr>
        <w:t>Tidewater</w:t>
      </w:r>
      <w:r>
        <w:rPr>
          <w:color w:val="000000"/>
        </w:rPr>
        <w:t xml:space="preserve"> </w:t>
      </w:r>
      <w:r>
        <w:rPr>
          <w:rFonts w:ascii="Times New Roman;serif" w:hAnsi="Times New Roman;serif"/>
          <w:b/>
          <w:i/>
          <w:color w:val="000000"/>
          <w:sz w:val="20"/>
        </w:rPr>
        <w:t>Rate Matters</w:t>
      </w:r>
    </w:p>
    <w:p>
      <w:pPr>
        <w:pStyle w:val="TextBody"/>
        <w:bidi w:val="0"/>
        <w:spacing w:lineRule="auto" w:line="288" w:before="0" w:after="240"/>
        <w:jc w:val="both"/>
        <w:rPr/>
      </w:pPr>
      <w:r>
        <w:rPr>
          <w:rFonts w:ascii="Times New Roman;serif" w:hAnsi="Times New Roman;serif"/>
          <w:b w:val="false"/>
          <w:color w:val="000000"/>
          <w:sz w:val="20"/>
        </w:rPr>
        <w:t xml:space="preserve">In February 2026, the Delaware Public Service Commission (DEPSC) approved the March 2026 refund of $1.1 million to Tidewater customers resulting from the proceeds of the MDL settlement agreement between Tidewater and manufacturers of PFAS. For further information, see discussion in </w:t>
      </w:r>
      <w:r>
        <w:rPr>
          <w:rFonts w:ascii="Times New Roman;serif" w:hAnsi="Times New Roman;serif"/>
          <w:b w:val="false"/>
          <w:i/>
          <w:color w:val="000000"/>
          <w:sz w:val="20"/>
        </w:rPr>
        <w:t>MDL Settlement</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Tidewater completed the acquisition of the water utility assets of Pinewood Acres, LLC, as approved by the DEPSC, for $0.2 million. Pinewood Acres serves approximately 350 customers in Kent County, Delaware.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DEPSC approved the Tidewater DSIC rate, effective January 1, 2026. Tidewater is expected to recover approximately $0.3 million of semi-annual DSIC revenues between January 2026 and June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DEPSC approved the settlement agreement in our general base rate application between Tidewater, DEPSC Staff and the Delaware Division of the Public Advocate, with new rates effective July 3, 2025. The DEPSC order approved an increase in our annual operating revenues by $5.5 million based on an authorized return on common equity of 9.5% and a common equity ratio of 53.5%.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MDL Settlement</w:t>
      </w:r>
    </w:p>
    <w:p>
      <w:pPr>
        <w:pStyle w:val="TextBody"/>
        <w:bidi w:val="0"/>
        <w:spacing w:lineRule="auto" w:line="288" w:before="0" w:after="240"/>
        <w:jc w:val="both"/>
        <w:rPr/>
      </w:pPr>
      <w:r>
        <w:rPr>
          <w:rFonts w:ascii="Times New Roman;serif" w:hAnsi="Times New Roman;serif"/>
          <w:b w:val="false"/>
          <w:color w:val="000000"/>
          <w:sz w:val="20"/>
        </w:rPr>
        <w:t xml:space="preserve">Multiple Company utility subsidiaries are parties to the aforementioned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began receiving settlement payments in 2025, which will continue through 2026 and beyond. As of March 31, 2026, the Company received $6.0 million. Proceeds from these settlement payments have been and will likely continue to be shared with customers in the future (for further information on 2026 customer refunds related to the MDL settlement, see </w:t>
      </w:r>
      <w:r>
        <w:rPr>
          <w:rFonts w:ascii="Times New Roman;serif" w:hAnsi="Times New Roman;serif"/>
          <w:b w:val="false"/>
          <w:i/>
          <w:color w:val="000000"/>
          <w:sz w:val="20"/>
        </w:rPr>
        <w:t>Middlesex Rate Matters and Tidewater Rate Matters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Southern Shores Rate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Southern Shores provides water service to a 2,200 unit condominium community in Sussex County, Delaware under a DEPSC-approved agreement expiring December 31, 2029. Under the agreement, rates are increased annually by the lesser of the regional Consumer Price Index or 3%. Additionally, when there are unanticipated capital expenditures or regulatory related changes in operating expenses exceed certain annual thresholds, rates are increased. In 2024, capital expenditures did exceed the established threshold. Effective January 1, 2025, Southern Shores rates were increased $0.1 million or 6.51%. In 2025, Southern Shores capital expenditures exceeded the established threshold. Effective January 1, 2026, Southern Shores rates were increased $0.1 million or 4.89%.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 Capitalization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Sales of shares of common stock and issuance of long-term debt are part of the Company’s comprehensive financing plan to fund its multi-year utility plant infrastructure investment program.</w:t>
      </w:r>
    </w:p>
    <w:p>
      <w:pPr>
        <w:pStyle w:val="TextBody"/>
        <w:bidi w:val="0"/>
        <w:spacing w:lineRule="auto" w:line="288" w:before="0" w:after="240"/>
        <w:jc w:val="both"/>
        <w:rPr/>
      </w:pPr>
      <w:r>
        <w:rPr>
          <w:rFonts w:ascii="Times New Roman;serif" w:hAnsi="Times New Roman;serif"/>
          <w:b/>
          <w:i/>
          <w:color w:val="000000"/>
          <w:sz w:val="20"/>
        </w:rPr>
        <w:t>Common Stock</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there were 4,025 common shares (approximately $0.2 million) and 4,228 common shares (approximately $0.2 million), respectively, issued under the Middlesex Water Company Investment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2025, Middlesex entered into an At-the-Market (ATM) Equity Offering Sales Agreement (Equity Sales Agreement) with BofA Securities, Inc., Robert W. Baird &amp; Co. Incorporated and Janney Montgomery Scott LLC (Janney), pursuant to which Middlesex may offer and sell shares of its common stock, no par value per share, from time to time in “at-the-market” offerings, having an aggregate gross sales price of up to $110.0 million. As of February 20, 2026, the Equity Sales Agreement was amended, replacing Janney with Huntington Securities, Inc. as a sales agent. The Company intends to use the net proceeds from these sales, after deducting commissions and offering expenses, to fund our capital expenditures, to purchase and maintain plant equipment, as well as for other general corporate purposes. For the three months ended March 31, 2026, Middlesex issued and sold a total of 49,305 shares of common stock, at a weighted average price of $54.82 per share, and received $2.7 million in net proceeds, under the Equity Sales Agreement. As of March 31, 2026, the Company had $77.3 million of aggregate gross sales remaining under the Equity Sales Agreement.</w:t>
      </w:r>
    </w:p>
    <w:p>
      <w:pPr>
        <w:pStyle w:val="TextBody"/>
        <w:bidi w:val="0"/>
        <w:spacing w:lineRule="auto" w:line="288" w:before="0" w:after="240"/>
        <w:jc w:val="both"/>
        <w:rPr/>
      </w:pPr>
      <w:r>
        <w:rPr>
          <w:rFonts w:ascii="Times New Roman;serif" w:hAnsi="Times New Roman;serif"/>
          <w:b/>
          <w:i/>
          <w:color w:val="000000"/>
          <w:sz w:val="20"/>
        </w:rPr>
        <w:t>Long-term Debt</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Tidewater closed on a $2.2 million Delaware SRF loan with a 0.0% interest rate with maturity dates in 2044. This loan is for costs associated with Tidewater’s obligation, as required by federal law and Delaware regulations,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identify and inventory lead service lines throughout Tidewater’s service area. Tidewater has drawn down $1.8 million as of March 31, 2026 and expects that the requisitions will continue through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2024, Tidewater closed on four Delaware SRF loans totaling $5.6 million, all at interest rates of 2.0% with maturity dates in 2044. These loans are for the construction, relocation, improvement, and/or interconnection of transmission mains and construction of a water treatment facility. In December 2025, Tidewater closed on an additional $1.0 million, 2.0% SRF loan with a maturity date of 2045 related to these projects. Tidewater has drawn down $2.1 million on these loans as of March 31, 2026. Each project has its own construction timetable with the last spending set to occur in 2027.</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December 2025, Southern Shores closed on a $0.4 million Delaware SRF loan with a 0.0% interest rate with a maturity date in 2045. This loan is for costs associated with Southern Shore’s obligation, as required by federal law and Delaware regulations, to identify and inventory lead service lines in its service area. As of March 31, 2026, Southern Shores has drawn down $0.2 million on these loans.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Pinelands Water and Pinelands Wastewater repaid in full $3.7 million and $3.4 million, respectively, of their amortizing secured notes. The interest rates and due dates on both of these notes were 6.17% and 2043, respectively.</w:t>
      </w:r>
    </w:p>
    <w:p>
      <w:pPr>
        <w:pStyle w:val="TextBody"/>
        <w:bidi w:val="0"/>
        <w:spacing w:lineRule="auto" w:line="288" w:before="0" w:after="240"/>
        <w:jc w:val="both"/>
        <w:rPr/>
      </w:pPr>
      <w:r>
        <w:rPr>
          <w:rFonts w:ascii="Times New Roman;serif" w:hAnsi="Times New Roman;serif"/>
          <w:b/>
          <w:i/>
          <w:color w:val="000000"/>
          <w:sz w:val="20"/>
        </w:rPr>
        <w:t>Fair Value of Financial Instruments</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by the Company in estimating its fair value disclosure for 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First Mortgage Bonds (FMBs) and SRF Bonds (collectively, the Bonds) issued by Middlesex is based on quoted market prices for similar issues. Under the fair value hierarchy, the fair value of cash and cash equivalents is classified as a Level 1 measurement and the fair value of notes payable and the FMBs in the table below are classified as Level 2 measurements. The carrying amount and fair value of the FMBs were as follows:</w:t>
      </w:r>
    </w:p>
    <w:tbl>
      <w:tblPr>
        <w:tblW w:w="6880"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7"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(Thousands of Dollars)</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FMBs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 was not practicable to estimate the fair value on our outstanding long-term debt for which there is no quoted market price and there is not an active trading market. For details, including carrying value, interest rates and due dates on these series of long-term debt, please refer to those series noted as “Secured Notes” and “State Revolving Trust Notes” on the Condensed Consolidated Statements of Capital Stock and Long-Term Debt. The carrying amount of these instruments was $252.8 million and $259.5 million at March 31, 2026 and December 31, 2025, respectively. Advances for construction have carrying amounts of $26.0 million and $25.5 million at March 31, 2026 and December 31, 2025, respectively. Their relative fair values cannot be accurately estimated since future refund payments depend on several variables, including new customer connections, customer consumption levels and future rate increases.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of the utility plant of the Company is subject to the lien of its mortgage, which includes debt service and capital ratio covenants. The Company is in compliance with all of its mortgage covenants and restrictions.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 Earnings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are computed on the basis of the weighted average number of shares outstanding during the period presented. Diluted EPS assumes the conversion of the Convertible Preferred Stock $7.00 Series.</w:t>
      </w:r>
    </w:p>
    <w:tbl>
      <w:tblPr>
        <w:tblW w:w="9089" w:type="dxa"/>
        <w:jc w:val="left"/>
        <w:tblInd w:w="0" w:type="dxa"/>
        <w:tblLayout w:type="fixed"/>
        <w:tblCellMar>
          <w:top w:w="28" w:type="dxa"/>
          <w:left w:w="28" w:type="dxa"/>
          <w:bottom w:w="28" w:type="dxa"/>
          <w:right w:w="28" w:type="dxa"/>
        </w:tblCellMar>
      </w:tblPr>
      <w:tblGrid>
        <w:gridCol w:w="1471"/>
        <w:gridCol w:w="1291"/>
        <w:gridCol w:w="1318"/>
        <w:gridCol w:w="109"/>
        <w:gridCol w:w="109"/>
        <w:gridCol w:w="109"/>
        <w:gridCol w:w="211"/>
        <w:gridCol w:w="721"/>
        <w:gridCol w:w="109"/>
        <w:gridCol w:w="109"/>
        <w:gridCol w:w="109"/>
        <w:gridCol w:w="109"/>
        <w:gridCol w:w="225"/>
        <w:gridCol w:w="225"/>
        <w:gridCol w:w="226"/>
        <w:gridCol w:w="109"/>
        <w:gridCol w:w="109"/>
        <w:gridCol w:w="109"/>
        <w:gridCol w:w="211"/>
        <w:gridCol w:w="616"/>
        <w:gridCol w:w="109"/>
        <w:gridCol w:w="109"/>
        <w:gridCol w:w="109"/>
        <w:gridCol w:w="109"/>
        <w:gridCol w:w="225"/>
        <w:gridCol w:w="225"/>
        <w:gridCol w:w="226"/>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17,890</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17,890</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17,890</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$7.00 Series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17,951</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5 – Business Segment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consists of the Company’s Chief Executive Officer, Chief Financial Officer, and Chief Operating Officer. The CODM evaluates segment performance and profitability using net income. This metric provides a clear, consistent basis for analyzing the financial results of each segment and supports decision-making regarding the allocation of resources.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Resource allocation to the Company’s regulated and non-regulated segments begins with the annual budgeting process, which establishes initial funding and resource levels for each segment. The budget incorporates key financial and operational inputs, including anticipated revenues, expenses, capital and financing requirements, aligning with the Company’s strategic objectives and regulatory obligations. The CODM reviews budget-to-actual variances on a monthly, quarterly and year to-date basis and makes interim decisions to reallocate resources among segments as needed, ensuring a timely and effective response to changing conditions. For the regulated segment, the CODM uses this assessment to determine whether the segment is achieving its regulatory authorized rate of return.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segments follow the same accounting policies as described in Note 1 – Organization, Summary of Significant Accounting Policies and Recent Developments of the 2025 Form 10-K. Segment profit or loss is based on Net Income. Expenses used to determine operating income before taxes are charged directly to each segment or are allocated based on the applicable cost allocation factors. Assets allocated to each segment are based upon specific identification of such assets provided by Company records. The effects of all intra-segment and/or intercompany transactions are eliminated in the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and includes Middlesex, Tidewater, Pinelands and Southern Shores. This segment also includes a regulated wastewater system in New Jersey, Pinelands Wastewater.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 and includes USA, USA-PA, and White Marsh.</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tbl>
      <w:tblPr>
        <w:tblW w:w="8003" w:type="dxa"/>
        <w:jc w:val="left"/>
        <w:tblInd w:w="0" w:type="dxa"/>
        <w:tblLayout w:type="fixed"/>
        <w:tblCellMar>
          <w:top w:w="28" w:type="dxa"/>
          <w:left w:w="28" w:type="dxa"/>
          <w:bottom w:w="28" w:type="dxa"/>
          <w:right w:w="28" w:type="dxa"/>
        </w:tblCellMar>
      </w:tblPr>
      <w:tblGrid>
        <w:gridCol w:w="1776"/>
        <w:gridCol w:w="1559"/>
        <w:gridCol w:w="1569"/>
        <w:gridCol w:w="239"/>
        <w:gridCol w:w="817"/>
        <w:gridCol w:w="123"/>
        <w:gridCol w:w="123"/>
        <w:gridCol w:w="123"/>
        <w:gridCol w:w="123"/>
        <w:gridCol w:w="239"/>
        <w:gridCol w:w="817"/>
        <w:gridCol w:w="123"/>
        <w:gridCol w:w="109"/>
        <w:gridCol w:w="109"/>
        <w:gridCol w:w="154"/>
      </w:tblGrid>
      <w:tr>
        <w:trPr/>
        <w:tc>
          <w:tcPr>
            <w:tcW w:w="177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Revenues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44,301 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Purchased Water</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 and Maintenance Expenses: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21,226 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Operations and Maintenance Expenses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Taxes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Depreciation</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Income, Net</w:t>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tbl>
      <w:tblPr>
        <w:tblW w:w="6173" w:type="dxa"/>
        <w:jc w:val="left"/>
        <w:tblInd w:w="0" w:type="dxa"/>
        <w:tblLayout w:type="fixed"/>
        <w:tblCellMar>
          <w:top w:w="28" w:type="dxa"/>
          <w:left w:w="28" w:type="dxa"/>
          <w:bottom w:w="28" w:type="dxa"/>
          <w:right w:w="28" w:type="dxa"/>
        </w:tblCellMar>
      </w:tblPr>
      <w:tblGrid>
        <w:gridCol w:w="1112"/>
        <w:gridCol w:w="978"/>
        <w:gridCol w:w="984"/>
        <w:gridCol w:w="239"/>
        <w:gridCol w:w="817"/>
        <w:gridCol w:w="123"/>
        <w:gridCol w:w="123"/>
        <w:gridCol w:w="123"/>
        <w:gridCol w:w="123"/>
        <w:gridCol w:w="239"/>
        <w:gridCol w:w="817"/>
        <w:gridCol w:w="123"/>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 (continued)</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Interest Charges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Taxes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20,641 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18,911 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88" w:type="dxa"/>
        <w:jc w:val="left"/>
        <w:tblInd w:w="0" w:type="dxa"/>
        <w:tblLayout w:type="fixed"/>
        <w:tblCellMar>
          <w:top w:w="28" w:type="dxa"/>
          <w:left w:w="28" w:type="dxa"/>
          <w:bottom w:w="28" w:type="dxa"/>
          <w:right w:w="28" w:type="dxa"/>
        </w:tblCellMar>
      </w:tblPr>
      <w:tblGrid>
        <w:gridCol w:w="839"/>
        <w:gridCol w:w="738"/>
        <w:gridCol w:w="747"/>
        <w:gridCol w:w="211"/>
        <w:gridCol w:w="976"/>
        <w:gridCol w:w="109"/>
        <w:gridCol w:w="109"/>
        <w:gridCol w:w="109"/>
        <w:gridCol w:w="109"/>
        <w:gridCol w:w="211"/>
        <w:gridCol w:w="976"/>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(Thousands of Dollars)</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December 31,</w:t>
              <w:br/>
              <w:t>2025</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Assets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1,386,038 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 Short-term Borrowings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maintains lines of credit aggregating $180.0 million.</w:t>
      </w:r>
    </w:p>
    <w:tbl>
      <w:tblPr>
        <w:tblW w:w="9229" w:type="dxa"/>
        <w:jc w:val="left"/>
        <w:tblInd w:w="0" w:type="dxa"/>
        <w:tblLayout w:type="fixed"/>
        <w:tblCellMar>
          <w:top w:w="28" w:type="dxa"/>
          <w:left w:w="28" w:type="dxa"/>
          <w:bottom w:w="28" w:type="dxa"/>
          <w:right w:w="28" w:type="dxa"/>
        </w:tblCellMar>
      </w:tblPr>
      <w:tblGrid>
        <w:gridCol w:w="770"/>
        <w:gridCol w:w="677"/>
        <w:gridCol w:w="683"/>
        <w:gridCol w:w="109"/>
        <w:gridCol w:w="109"/>
        <w:gridCol w:w="10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404"/>
        <w:gridCol w:w="404"/>
        <w:gridCol w:w="408"/>
        <w:gridCol w:w="109"/>
        <w:gridCol w:w="109"/>
        <w:gridCol w:w="109"/>
        <w:gridCol w:w="452"/>
        <w:gridCol w:w="452"/>
        <w:gridCol w:w="641"/>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(Millions)</w:t>
            </w:r>
          </w:p>
        </w:tc>
        <w:tc>
          <w:tcPr>
            <w:tcW w:w="12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12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Line of Credit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r>
          </w:p>
        </w:tc>
        <w:tc>
          <w:tcPr>
            <w:tcW w:w="12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w:t>
            </w:r>
          </w:p>
        </w:tc>
        <w:tc>
          <w:tcPr>
            <w:tcW w:w="12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Credit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Uncommitted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PNC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2029</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CoBank, ACB (CoBank)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20, 2028</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amended its line of credit with PNC Bank. Under the terms of the amendment, the expiration date was extended to January 31, 2029 and the maximum borrowing amount was increased to $100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maturity dates for the Notes Payable as of March 31, 2026 are all three months or less and are extendable at the discretion of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interest rates are set for borrowings under the Bank of America and PNC Bank lines of credit using the Secured Overnight Financing Rate (SOFR) and then adding a specific financial institution credit spread. The interest rate for borrowings under the CoBank line of credit are set weekly using CoBank’s internal cost of funds index that is similar to the SOFR and adding a credit spread. There is no requirement for a compensating balance under any of the established lines of credit.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the outstanding borrowings at March 31, 2026 under these credit lines is 4.87%.</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weighted average daily amounts of borrowings outstanding under these credit lines and the weighted average interest rates on those amounts were as follows:</w:t>
      </w:r>
    </w:p>
    <w:tbl>
      <w:tblPr>
        <w:tblW w:w="6224" w:type="dxa"/>
        <w:jc w:val="center"/>
        <w:tblInd w:w="0" w:type="dxa"/>
        <w:tblLayout w:type="fixed"/>
        <w:tblCellMar>
          <w:top w:w="28" w:type="dxa"/>
          <w:left w:w="28" w:type="dxa"/>
          <w:bottom w:w="28" w:type="dxa"/>
          <w:right w:w="28" w:type="dxa"/>
        </w:tblCellMar>
      </w:tblPr>
      <w:tblGrid>
        <w:gridCol w:w="1130"/>
        <w:gridCol w:w="992"/>
        <w:gridCol w:w="997"/>
        <w:gridCol w:w="109"/>
        <w:gridCol w:w="109"/>
        <w:gridCol w:w="109"/>
        <w:gridCol w:w="211"/>
        <w:gridCol w:w="721"/>
        <w:gridCol w:w="271"/>
        <w:gridCol w:w="109"/>
        <w:gridCol w:w="109"/>
        <w:gridCol w:w="109"/>
        <w:gridCol w:w="211"/>
        <w:gridCol w:w="721"/>
        <w:gridCol w:w="316"/>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Amounts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 Commitments and Contingent Liabilities</w:t>
      </w:r>
    </w:p>
    <w:p>
      <w:pPr>
        <w:pStyle w:val="TextBody"/>
        <w:bidi w:val="0"/>
        <w:spacing w:lineRule="auto" w:line="288" w:before="0" w:after="240"/>
        <w:jc w:val="both"/>
        <w:rPr/>
      </w:pPr>
      <w:r>
        <w:rPr>
          <w:rFonts w:ascii="Times New Roman;serif" w:hAnsi="Times New Roman;serif"/>
          <w:b w:val="false"/>
          <w:i/>
          <w:color w:val="000000"/>
          <w:sz w:val="20"/>
        </w:rPr>
        <w:t>Water Supply</w:t>
      </w:r>
      <w:r>
        <w:rPr>
          <w:color w:val="000000"/>
        </w:rPr>
        <w:t xml:space="preserve"> – </w:t>
      </w:r>
      <w:r>
        <w:rPr>
          <w:rFonts w:ascii="Times New Roman;serif" w:hAnsi="Times New Roman;serif"/>
          <w:b w:val="false"/>
          <w:color w:val="000000"/>
          <w:sz w:val="20"/>
        </w:rPr>
        <w:t>Middlesex's agreement with the New Jersey Water Supply Authority (NJWSA) for the purchase of untreated water expires November 30, 2048. NJWSA provides for an average purchase of 27.0 million gallons a day (mgd) with a peak up to 47.0 mgd. Pricing is set annually by the NJWSA through a public rate making process. The agreement has provisions for additional pricing in the event Middlesex overdrafts or exceeds certain monthly and annual thresholds.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also has an agreement with a non-affiliated NJBPU-regulated water utility for the purchase of treated water. This agreement, which expires February 27, 2031, provides for the minimum purchase of 3.0 mgd of treated water with provisions for additional purchases if needed.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Tidewater contracts with the City of Dover in Delaware to purchase treated water of up to 75.0 million gallons annually.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Purchased water costs are shown below:</w:t>
      </w:r>
    </w:p>
    <w:tbl>
      <w:tblPr>
        <w:tblW w:w="3818" w:type="dxa"/>
        <w:jc w:val="center"/>
        <w:tblInd w:w="0" w:type="dxa"/>
        <w:tblLayout w:type="fixed"/>
        <w:tblCellMar>
          <w:top w:w="28" w:type="dxa"/>
          <w:left w:w="28" w:type="dxa"/>
          <w:bottom w:w="28" w:type="dxa"/>
          <w:right w:w="28" w:type="dxa"/>
        </w:tblCellMar>
      </w:tblPr>
      <w:tblGrid>
        <w:gridCol w:w="379"/>
        <w:gridCol w:w="333"/>
        <w:gridCol w:w="337"/>
        <w:gridCol w:w="117"/>
        <w:gridCol w:w="117"/>
        <w:gridCol w:w="117"/>
        <w:gridCol w:w="227"/>
        <w:gridCol w:w="665"/>
        <w:gridCol w:w="117"/>
        <w:gridCol w:w="117"/>
        <w:gridCol w:w="117"/>
        <w:gridCol w:w="117"/>
        <w:gridCol w:w="227"/>
        <w:gridCol w:w="665"/>
        <w:gridCol w:w="166"/>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Treated</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Untreated</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w:t>
            </w:r>
          </w:p>
        </w:tc>
        <w:tc>
          <w:tcPr>
            <w:tcW w:w="3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color w:val="000000"/>
          <w:sz w:val="20"/>
        </w:rPr>
        <w:t>Construction</w:t>
      </w:r>
      <w:r>
        <w:rPr>
          <w:color w:val="000000"/>
        </w:rPr>
        <w:t xml:space="preserve"> – </w:t>
      </w:r>
      <w:r>
        <w:rPr>
          <w:rFonts w:ascii="Times New Roman;serif" w:hAnsi="Times New Roman;serif"/>
          <w:b w:val="false"/>
          <w:color w:val="000000"/>
          <w:sz w:val="20"/>
        </w:rPr>
        <w:t>In connection with the Company’s planned capital expenditures, the Company has entered into several contractual construction agreements that in total obligate it to expend an estimated $42.3 million in the future. The actual amount and timing of capital expenditures is dependent on the need for replacement of existing infrastructure, customer growth, residential new home construction and sales, project scheduling, supply chain and continued refinement of project scope and costs.</w:t>
      </w:r>
    </w:p>
    <w:p>
      <w:pPr>
        <w:pStyle w:val="TextBody"/>
        <w:bidi w:val="0"/>
        <w:spacing w:lineRule="auto" w:line="288" w:before="0" w:after="240"/>
        <w:jc w:val="both"/>
        <w:rPr/>
      </w:pPr>
      <w:r>
        <w:rPr>
          <w:rFonts w:ascii="Times New Roman;serif" w:hAnsi="Times New Roman;serif"/>
          <w:b/>
          <w:color w:val="000000"/>
          <w:sz w:val="20"/>
        </w:rPr>
        <w:t>Contingencies –</w:t>
      </w:r>
      <w:r>
        <w:rPr>
          <w:color w:val="000000"/>
        </w:rPr>
        <w:t xml:space="preserve"> </w:t>
      </w:r>
      <w:r>
        <w:rPr>
          <w:rFonts w:ascii="Times New Roman;serif" w:hAnsi="Times New Roman;serif"/>
          <w:b w:val="false"/>
          <w:color w:val="000000"/>
          <w:sz w:val="20"/>
        </w:rPr>
        <w:t xml:space="preserve">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operations or cash flows. In addition, the Company maintains business insurance coverage that may mitigate the effect of any current or future loss contingencies.</w:t>
      </w:r>
    </w:p>
    <w:p>
      <w:pPr>
        <w:pStyle w:val="TextBody"/>
        <w:bidi w:val="0"/>
        <w:spacing w:lineRule="auto" w:line="288" w:before="0" w:after="240"/>
        <w:jc w:val="both"/>
        <w:rPr/>
      </w:pPr>
      <w:r>
        <w:rPr>
          <w:rFonts w:ascii="Times New Roman;serif" w:hAnsi="Times New Roman;serif"/>
          <w:b/>
          <w:color w:val="000000"/>
          <w:sz w:val="20"/>
        </w:rPr>
        <w:t>Change in Control Agreements –</w:t>
      </w:r>
      <w:r>
        <w:rPr>
          <w:color w:val="000000"/>
        </w:rPr>
        <w:t xml:space="preserve"> </w:t>
      </w:r>
      <w:r>
        <w:rPr>
          <w:rFonts w:ascii="Times New Roman;serif" w:hAnsi="Times New Roman;serif"/>
          <w:b w:val="false"/>
          <w:color w:val="000000"/>
          <w:sz w:val="20"/>
        </w:rPr>
        <w:t>The Company has Change in Control Agreements with its executive officers that provide compensation and benefits in the event of termination of employment under certain conditions in connection with a change in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 Employee Benefit Plans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Pension Benefits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For each of the three-month periods ended March 31, 2026 and 2025, the Company did not make cash contributions to the Pension Plan. The Company expects to make cash contributions of approximately $0.9 million over the remainder of the current year.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Other Benefits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Other Benefits Plan covers substantially all of its current retired employees. Employees hired after March 31, 2007 are not eligible to participate in this plan. Coverage includes healthcare and life insurance. For each of the three-month periods ended March 31, 2026 and 2025, the Company did not make cash contributions to its Other Benefits Plan. The Company expects to make additional Other Benefits Plan cash contributions of $1.1 million over the remainder of the current year.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relating to the Company’s periodic costs (benefit) for its employee retirement benefit plans:</w:t>
      </w:r>
    </w:p>
    <w:tbl>
      <w:tblPr>
        <w:tblW w:w="8871" w:type="dxa"/>
        <w:jc w:val="left"/>
        <w:tblInd w:w="0" w:type="dxa"/>
        <w:tblLayout w:type="fixed"/>
        <w:tblCellMar>
          <w:top w:w="28" w:type="dxa"/>
          <w:left w:w="28" w:type="dxa"/>
          <w:bottom w:w="28" w:type="dxa"/>
          <w:right w:w="28" w:type="dxa"/>
        </w:tblCellMar>
      </w:tblPr>
      <w:tblGrid>
        <w:gridCol w:w="1379"/>
        <w:gridCol w:w="1210"/>
        <w:gridCol w:w="1220"/>
        <w:gridCol w:w="109"/>
        <w:gridCol w:w="109"/>
        <w:gridCol w:w="109"/>
        <w:gridCol w:w="215"/>
        <w:gridCol w:w="475"/>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 cost is included Operations and Maintenance expense on the consolidated statements of income; all other amounts are included in 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 Revenue Recognition from Contracts with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revenues are primarily generated from regulated tariff-based water and wastewater utility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regulated revenue results from tariff-based water and wastewater services to residential, industrial, commercial, fire-protection and wholesale customers. Residential customers are billed monthly or quarterly while most industrial, commercial, fire-protection and wholesale customers are billed monthly. Payments by customers are due between 15 and 30 days after the invoice date. Revenue is recognized as the water and wastewater services are delivered to customers which includes an accrual of unbilled revenues estimated from the last meter reading date to the end of the accounting period utilizing factors such as historical customer data and regional weather indicators. Unearned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and Advance Service Fees include fixed service charge billings in advance to Tidewater customers recognized as service is provided to the customer.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2032 and contain remaining performance obligations for which the Company expects to recognize revenue in the future. These contracts also contain termination provisions.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of the amounts included in operating revenues and accounts receivable are from contracts with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contracts do not contain any significant financing components.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operating revenues are comprised of the following:</w:t>
      </w:r>
    </w:p>
    <w:tbl>
      <w:tblPr>
        <w:tblW w:w="7190" w:type="dxa"/>
        <w:jc w:val="left"/>
        <w:tblInd w:w="0" w:type="dxa"/>
        <w:tblLayout w:type="fixed"/>
        <w:tblCellMar>
          <w:top w:w="28" w:type="dxa"/>
          <w:left w:w="28" w:type="dxa"/>
          <w:bottom w:w="28" w:type="dxa"/>
          <w:right w:w="28" w:type="dxa"/>
        </w:tblCellMar>
      </w:tblPr>
      <w:tblGrid>
        <w:gridCol w:w="1460"/>
        <w:gridCol w:w="1285"/>
        <w:gridCol w:w="1289"/>
        <w:gridCol w:w="109"/>
        <w:gridCol w:w="109"/>
        <w:gridCol w:w="109"/>
        <w:gridCol w:w="243"/>
        <w:gridCol w:w="833"/>
        <w:gridCol w:w="125"/>
        <w:gridCol w:w="125"/>
        <w:gridCol w:w="125"/>
        <w:gridCol w:w="125"/>
        <w:gridCol w:w="243"/>
        <w:gridCol w:w="833"/>
        <w:gridCol w:w="177"/>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Regulated Tariff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Fire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Non-Regulated Contract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from Contracts with Customers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48,681 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44,267 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Regulated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Non-Regulated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48,714 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44,301 </w:t>
            </w:r>
          </w:p>
        </w:tc>
        <w:tc>
          <w:tcPr>
            <w:tcW w:w="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was 10.8% and 10.9% for the three months ended March 31, 2026 and 2025 respectively. We evaluate and update our annual effective income tax rate on a quarterly basis based on current and forecasted operating results and tax laws. Income Taxes for the three months ended March 31, 2026 increased by $0.1 million from the same period in 2025, primarily due to higher pre-tax income.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statutory Federal tax rate is 21.0% for each of the three months ended March 31, 2026 and 2025. For states with a corporate net income tax, the state corporate net income tax rates range from 8.7% to 9.0% for each of the three months ended March 31, 2026 and 2025. Our effective tax rate differs from the federal statutory tax rate primarily due to the recognition of the income tax benefits for the immediate deduction of repair expenditures on tangible property in the Middlesex System as well as other permanent book-to-tax differences.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 Supplemental Cash Flows Information</w:t>
      </w:r>
    </w:p>
    <w:tbl>
      <w:tblPr>
        <w:tblW w:w="9010" w:type="dxa"/>
        <w:jc w:val="left"/>
        <w:tblInd w:w="0" w:type="dxa"/>
        <w:tblLayout w:type="fixed"/>
        <w:tblCellMar>
          <w:top w:w="28" w:type="dxa"/>
          <w:left w:w="28" w:type="dxa"/>
          <w:bottom w:w="28" w:type="dxa"/>
          <w:right w:w="28" w:type="dxa"/>
        </w:tblCellMar>
      </w:tblPr>
      <w:tblGrid>
        <w:gridCol w:w="2237"/>
        <w:gridCol w:w="1966"/>
        <w:gridCol w:w="1976"/>
        <w:gridCol w:w="285"/>
        <w:gridCol w:w="631"/>
        <w:gridCol w:w="147"/>
        <w:gridCol w:w="147"/>
        <w:gridCol w:w="147"/>
        <w:gridCol w:w="147"/>
        <w:gridCol w:w="285"/>
        <w:gridCol w:w="834"/>
        <w:gridCol w:w="208"/>
      </w:tblGrid>
      <w:tr>
        <w:trPr/>
        <w:tc>
          <w:tcPr>
            <w:tcW w:w="223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17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received as Construction Advances and Contributions</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08"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Payables for Utility Plant</w:t>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w:t>
            </w:r>
          </w:p>
        </w:tc>
      </w:tr>
      <w:tr>
        <w:trPr/>
        <w:tc>
          <w:tcPr>
            <w:tcW w:w="61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Preferred Stock Into Common Stock</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617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FLOWS INFORMATION:</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3 Months for:</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r>
      <w:tr>
        <w:trPr/>
        <w:tc>
          <w:tcPr>
            <w:tcW w:w="6179"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106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4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cash flow impact of Tangible Property Repairs is reflected in Provision for Deferred Income Taxes and Investment Tax Credits in the Condensed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periodic report and in the documents incorporated by reference constitute “forward-looking statements” within the meaning of Section 21E of the Securities Exchange Act of 1934 and Section 27A of the Securities Act of 1933. Some of these forward-looking statements can be identified by the use of forward-looking words such as “believes,” “expects,” “may,” “will,” “should,” “seeks,” “approximately,” “intends,” “plans,” “estimates,” “projects,” “strategy,” or “anticipates,” or the negative of those words or other comparable terminology. The Company intends that these statements be covered by the safe harbors created under those laws. They include, but are not limited to statements as to:</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-expected financial condition, performance, prospects and earnings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-strategic plans for growth;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amount and timing of rate increases and other regulatory matters, including the recovery of certain costs recorded as regulatory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expected liquidity needs during the upcoming fiscal year and beyond and the sources and availability of funds to meet its liquidity needs;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-expected customer rates, consumption volumes, service fees, revenues, margins, expenses and operating results;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-financial projections;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expected amount of cash contributions to fund the Company’s retirement benefit plans, anticipated discount rates and rates of return on plan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ability of the Company to pay dividends;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compliance with environmental laws and regulations and estimations of the materiality of any related costs;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safety and reliability of the Company’s equipment, facilities and operations;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plans to renew municipal franchises and consents in the territories it serves;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-trends;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availability and quality of our water supply.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-effects of general economic conditions;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-increases in competition for growth in non-franchised markets;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-ability of the Company to adequately control selected operating expenses which are necessary to maintain safe and proper utility services, and which may be beyond the Company’s control;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-availability of adequate supplies of quality water;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-actions taken by government regulators, including decisions on rate increase requests;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-new or modified water quality standards and compliance with related legal and regulatory requirements;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-weather variations, including climate variability, and other natural phenomena impacting utility operations;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-financial and operating risks associated with acquisitions and/or privatizations;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-acts of war or terrorism;</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-cyber-attacks;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-changes in the pace of real estate development;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-availability and cost of capital resources;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-timely availability of materials and supplies for operations and for critical infrastructure projects;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-effectiveness of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-other factors discussed elsewhere in this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an additional discussion of factors that may affect the Company’s business and results of operations, see Item 1A. - Risk Factors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Water Company (Middlesex or the Company) has operated as a water utility in New Jersey since 1897 and in Delaware through our wholly-owned subsidiary, Tidewater Utilities, Inc. (Tidewater), since 1992. We are in the business of providing an essential water utility service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Prior to April 1, 2026, Pinelands Water Company (Pinelands Water) and Pinelands Wastewater Company (Pinelands Wastewater) (collectively, Pinelands) provided water and wastewater services to approximately 2,500 customers in Southampton Township, New Jersey. Effective April 1, 2026, Pinelands was merged into Middlesex and those customers are now served by Middlesex.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Delaware subsidiaries, Tidewater and Southern Shores Water Company, LLC, provide water services to approximately 65,000 retail customers in New Castle, Kent and Sussex Counties, Delaware. Tidewater’s subsidiary, White Marsh, serves approximately 3,700 households in Kent and Sussex Counties through various operations and maintenance contracts.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0" w:after="0"/>
        <w:jc w:val="both"/>
        <w:rPr/>
      </w:pPr>
      <w:r>
        <w:rPr>
          <w:rFonts w:ascii="Times New Roman;serif" w:hAnsi="Times New Roman;serif"/>
          <w:b/>
          <w:color w:val="000000"/>
          <w:sz w:val="20"/>
        </w:rPr>
        <w:t xml:space="preserve">Perfluoroalkyl Substances (PFAS) Multi-District Litigation Settlement - </w:t>
      </w:r>
      <w:r>
        <w:rPr>
          <w:rFonts w:ascii="Times New Roman;serif" w:hAnsi="Times New Roman;serif"/>
          <w:b w:val="false"/>
          <w:color w:val="000000"/>
          <w:sz w:val="20"/>
        </w:rPr>
        <w:t>Multiple Company utility subsidiaries are parties to a multi-district litigation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timely submitted to the MDL court its Phase One claim forms under settlement agreements with defendants 3M Company, DuPont de Nemours, Inc., Tyco Fire Products LP and BASF Corporation.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settlement payments received by the Company will ultimately be refunded to customers. As of March 31, 2026, the Company received $6.0 million and anticipates receiving additional settlement payments during the remainder of 2026 from the defendants named above.</w:t>
      </w:r>
    </w:p>
    <w:p>
      <w:pPr>
        <w:pStyle w:val="TextBody"/>
        <w:bidi w:val="0"/>
        <w:spacing w:before="0" w:after="0"/>
        <w:jc w:val="both"/>
        <w:rPr/>
      </w:pPr>
      <w:r>
        <w:rPr/>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color w:val="000000"/>
          <w:sz w:val="20"/>
        </w:rPr>
        <w:t>Rates and Regulatory Matters</w:t>
      </w:r>
      <w:r>
        <w:rPr>
          <w:color w:val="000000"/>
        </w:rPr>
        <w:t xml:space="preserve"> </w:t>
      </w:r>
    </w:p>
    <w:p>
      <w:pPr>
        <w:pStyle w:val="TextBody"/>
        <w:bidi w:val="0"/>
        <w:spacing w:lineRule="auto" w:line="288" w:before="0" w:after="240"/>
        <w:jc w:val="both"/>
        <w:rPr/>
      </w:pPr>
      <w:r>
        <w:rPr>
          <w:rFonts w:ascii="Times New Roman;serif" w:hAnsi="Times New Roman;serif"/>
          <w:b/>
          <w:color w:val="000000"/>
          <w:sz w:val="20"/>
        </w:rPr>
        <w:t>Middlesex</w:t>
      </w:r>
      <w:r>
        <w:rPr>
          <w:color w:val="000000"/>
        </w:rPr>
        <w:t xml:space="preserve"> </w:t>
      </w:r>
      <w:r>
        <w:rPr>
          <w:rFonts w:ascii="Times New Roman;serif" w:hAnsi="Times New Roman;serif"/>
          <w:b w:val="false"/>
          <w:color w:val="000000"/>
          <w:sz w:val="20"/>
        </w:rPr>
        <w:t>- In February 2026, the New Jersey Board of Public Utilities (NJBPU) approved: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$14.5 million of base rate increases for Middlesex and Pinelands, effective February 23, 2026;</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Resiliency and Environmental System Improvement Charge (RESIC) Foundational Filing, which allows for the recovery of certain costs of future Middlesex and Pinelands investments related to compliance with requirements to address existing and emerging chemical elements or compounds, installation of new plant or equipment or replacement of existing plant or equipment to further maintain, enhance, or improve resiliency, health, safety or environmental protection;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Distribution System Improvement System Charge (DSIC) Foundational Filing, which allows for the recovery of future Middlesex and Pinelands Water investments in qualifying capital improvements to their water distribution system.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2026, the NJBPU approved the merger of Pinelands into Middlesex through a corporate reorganization, which was completed April 1, 2026.</w:t>
      </w:r>
    </w:p>
    <w:p>
      <w:pPr>
        <w:pStyle w:val="TextBody"/>
        <w:bidi w:val="0"/>
        <w:spacing w:lineRule="auto" w:line="288" w:before="0" w:after="240"/>
        <w:jc w:val="both"/>
        <w:rPr/>
      </w:pPr>
      <w:r>
        <w:rPr>
          <w:rFonts w:ascii="Times New Roman;serif" w:hAnsi="Times New Roman;serif"/>
          <w:b/>
          <w:color w:val="000000"/>
          <w:sz w:val="20"/>
        </w:rPr>
        <w:t>Tidewater</w:t>
      </w:r>
      <w:r>
        <w:rPr>
          <w:color w:val="000000"/>
        </w:rPr>
        <w:t xml:space="preserve"> </w:t>
      </w:r>
      <w:r>
        <w:rPr>
          <w:rFonts w:ascii="Times New Roman;serif" w:hAnsi="Times New Roman;serif"/>
          <w:b w:val="false"/>
          <w:color w:val="000000"/>
          <w:sz w:val="20"/>
        </w:rPr>
        <w:t>- In January 2026, Tidewater completed the acquisitions of the water utility assets of Pinewood Acres, LLC, as authorized by the Delaware Public Service Commission (DEPSC).</w:t>
      </w:r>
    </w:p>
    <w:p>
      <w:pPr>
        <w:pStyle w:val="TextBody"/>
        <w:bidi w:val="0"/>
        <w:spacing w:lineRule="auto" w:line="288" w:before="0" w:after="240"/>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Rates and Regulatory Matters</w:t>
      </w:r>
      <w:r>
        <w:rPr>
          <w:color w:val="000000"/>
        </w:rPr>
        <w:t xml:space="preserve"> </w:t>
      </w:r>
      <w:r>
        <w:rPr>
          <w:rFonts w:ascii="Times New Roman;serif" w:hAnsi="Times New Roman;serif"/>
          <w:b w:val="false"/>
          <w:color w:val="000000"/>
          <w:sz w:val="20"/>
        </w:rPr>
        <w:t>for more details about our rates and regulatory activity in Delaware and New Jersey.</w:t>
      </w:r>
    </w:p>
    <w:p>
      <w:pPr>
        <w:pStyle w:val="TextBody"/>
        <w:bidi w:val="0"/>
        <w:spacing w:lineRule="auto" w:line="288" w:before="0" w:after="240"/>
        <w:jc w:val="both"/>
        <w:rPr/>
      </w:pPr>
      <w:r>
        <w:rPr>
          <w:rFonts w:ascii="Times New Roman;serif" w:hAnsi="Times New Roman;serif"/>
          <w:b/>
          <w:color w:val="000000"/>
          <w:sz w:val="20"/>
        </w:rPr>
        <w:t>United States Environmental Protection Agency (USEPA) Issues PFAS Regulations</w:t>
      </w:r>
      <w:r>
        <w:rPr>
          <w:color w:val="000000"/>
        </w:rPr>
        <w:t xml:space="preserve"> </w:t>
      </w:r>
      <w:r>
        <w:rPr>
          <w:rFonts w:ascii="Times New Roman;serif" w:hAnsi="Times New Roman;serif"/>
          <w:b w:val="false"/>
          <w:color w:val="000000"/>
          <w:sz w:val="20"/>
        </w:rPr>
        <w:t>- 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 The USEPA has announced its plans to issue a proposed rule extending the compliance date to 2031.</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Beginning in April 2029 and absent an extension by the USEPA,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anticipation of these new USEPA standards, in 2023, the Company began implementing its strategy to meet these lower MCLs for Regulated PFAS and is currently designing and implementing the most effective PFAS treatment approach.</w:t>
      </w:r>
    </w:p>
    <w:p>
      <w:pPr>
        <w:pStyle w:val="TextBody"/>
        <w:bidi w:val="0"/>
        <w:spacing w:lineRule="auto" w:line="288" w:before="0" w:after="240"/>
        <w:jc w:val="both"/>
        <w:rPr/>
      </w:pPr>
      <w:r>
        <w:rPr>
          <w:rFonts w:ascii="Times New Roman;serif" w:hAnsi="Times New Roman;serif"/>
          <w:b/>
          <w:color w:val="000000"/>
          <w:sz w:val="20"/>
        </w:rPr>
        <w:t>Capital Construction Program</w:t>
      </w:r>
      <w:r>
        <w:rPr>
          <w:color w:val="000000"/>
        </w:rPr>
        <w:t xml:space="preserve"> </w:t>
      </w:r>
      <w:r>
        <w:rPr>
          <w:rFonts w:ascii="Times New Roman;serif" w:hAnsi="Times New Roman;serif"/>
          <w:b w:val="false"/>
          <w:color w:val="000000"/>
          <w:sz w:val="20"/>
        </w:rPr>
        <w:t>- The Company’s multi-year capital construction program encompasses numerous projects designed to upgrade and replace utility infrastructure as well as enhance the integrity and reliability of assets to better serve current and future generations of water and wastewater customers. The Company plans to invest approximately $126 million in 2026 in connection with this plan for projects that include, but are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Upgrade of the Carl J. Olson Surface Water Treatment Plant (CJO Plant) to integrate PFAS removal from source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water and CJO Plant finished water pump electrical distribution system improvements in our Middlesex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Construction of new water treatment facilities, distribution system improvements and PFAS treatment facilities in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Delaware;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Various water main replacements and improvements.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Strategy for Growth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strategy for selective and sustainable growth is focused on the following key areas: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Invest in our utility infrastructure to build system resiliency and meet compliance requirements;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Timely and adequate recovery of infrastructure investments and other costs to maintain and continually improve service quality;</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Selective acquisitions of investor and municipally-owned water and wastewater utilities; and</w:t>
      </w:r>
    </w:p>
    <w:p>
      <w:pPr>
        <w:pStyle w:val="TextBody"/>
        <w:bidi w:val="0"/>
        <w:spacing w:lineRule="auto" w:line="288" w:before="0" w:after="200"/>
        <w:ind w:left="0" w:right="0" w:hanging="180"/>
        <w:jc w:val="both"/>
        <w:rPr/>
      </w:pPr>
      <w:r>
        <w:rPr>
          <w:color w:val="000000"/>
        </w:rPr>
        <w:t>•</w:t>
      </w:r>
      <w:r>
        <w:rPr>
          <w:rFonts w:ascii="Times New Roman;serif" w:hAnsi="Times New Roman;serif"/>
          <w:b w:val="false"/>
          <w:color w:val="000000"/>
          <w:sz w:val="20"/>
        </w:rPr>
        <w:t>Operation of municipal and industrial water and wastewater systems on a contract basis which meet our risk profile.</w:t>
      </w:r>
    </w:p>
    <w:p>
      <w:pPr>
        <w:pStyle w:val="TextBody"/>
        <w:bidi w:val="0"/>
        <w:spacing w:lineRule="auto" w:line="288" w:before="0" w:after="240"/>
        <w:ind w:left="0" w:right="0" w:hanging="18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projected to spend approximately $506 million for the 2026-2028 capital investment program, including approximately $255 million for upgrading our CJO Plant to integrate PFAS removal from source water, $34 million on the RENEW Program, which is our ongoing initiative to replace water mains in the Middlesex System, $17 million for replacement of a transmission main in Metuchen in our Middlesex System, $8 million for booster station generator replacement and electrical improvements, $9 million for construction of the Bethany Bay new water treatment facility in the Tidewater System and $12 million for elevated storage tanks in our Tidewater System.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utilizes semi-annual DSIC and RESIC filings between general rate case filings to timely recover costs for qualified capital investments related to its utility systems as well as compliance with requirements to address existing and emerging chemical elements or compounds, installation of new plant or equipment or replacement of existing plant or equipment to further maintain and enhance resiliency, health, safety or environmental protection investments.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Overall, organic residential customer growth continues in our Tidewater system (approximately 3.0% in 2025) through expansion of our franchise area. However, current and evolving market conditions may challenge that growth.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seek "tuck-in" acquisition opportunities for small water systems near our current service areas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are easily integrated into our Company, such as the recent acquisitions of the water utility assets of the Town of Ocean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View and Pinewood Acres, LLC in Delaware.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increase operating income and net income is based significantly on four factors: weather, adequate and timely rate relief, effective cost management and customer growth. Weather patterns which can result in lower customer demand for water may occur at any time. Changes in customer water usage habits, as well as increases in capital expenditures and operating costs, are significant factors in determining the timing and extent of rate increase requests.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Operating Results by Segment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segments in the tables included below are comprised of the following companies: Regulated - Middlesex, Tidewater, Pinelands and Southern Shores; Non-Regulated - USA, USA-PA, and White Marsh.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 – Three Months Ended March 31, 2026</w:t>
      </w:r>
    </w:p>
    <w:tbl>
      <w:tblPr>
        <w:tblW w:w="10205" w:type="dxa"/>
        <w:jc w:val="left"/>
        <w:tblInd w:w="0" w:type="dxa"/>
        <w:tblLayout w:type="fixed"/>
        <w:tblCellMar>
          <w:top w:w="28" w:type="dxa"/>
          <w:left w:w="28" w:type="dxa"/>
          <w:bottom w:w="28" w:type="dxa"/>
          <w:right w:w="28" w:type="dxa"/>
        </w:tblCellMar>
      </w:tblPr>
      <w:tblGrid>
        <w:gridCol w:w="643"/>
        <w:gridCol w:w="361"/>
        <w:gridCol w:w="363"/>
        <w:gridCol w:w="109"/>
        <w:gridCol w:w="109"/>
        <w:gridCol w:w="109"/>
        <w:gridCol w:w="211"/>
        <w:gridCol w:w="721"/>
        <w:gridCol w:w="109"/>
        <w:gridCol w:w="109"/>
        <w:gridCol w:w="109"/>
        <w:gridCol w:w="109"/>
        <w:gridCol w:w="226"/>
        <w:gridCol w:w="662"/>
        <w:gridCol w:w="118"/>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226"/>
        <w:gridCol w:w="662"/>
        <w:gridCol w:w="118"/>
        <w:gridCol w:w="109"/>
        <w:gridCol w:w="109"/>
        <w:gridCol w:w="109"/>
        <w:gridCol w:w="211"/>
        <w:gridCol w:w="721"/>
        <w:gridCol w:w="109"/>
        <w:gridCol w:w="109"/>
        <w:gridCol w:w="109"/>
        <w:gridCol w:w="155"/>
      </w:tblGrid>
      <w:tr>
        <w:trPr/>
        <w:tc>
          <w:tcPr>
            <w:tcW w:w="6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revenues for the three months ended March 31, 2026 increased $4.4 million from the same period in 2025 due to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Middlesex System revenues increased $3.4 million due to increased wholesale customer demand, customer consumption and base rate increases effective February 23, 2026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Tidewater System revenues increased $0.8 million due to customer growth, increased customer consumption and rate increases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Non-regulated revenues increased $0.1 million, primarily due to higher supplemental contract services;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other operating revenue categories increased $0.1 million.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Operations and Maintenance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Operations and Maintenance Expense for the three months ended March 31, 2026 increased $1.9 million from the same period in 2025 due to increased variable production costs from higher production and higher labor cost due to wage and employee headcount increases, partially offset by higher capitalizable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March 31, 2026 increased $0.5 million from the same period in 2025 due to higher average utility plant in service.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Taxes for the three months ended March 31, 2026 increased $0.5 million from the same period in 2025 primarily due to higher gross receipts taxes on higher revenues in our Middlesex system.</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net for the three months ended March 31, 2026 increased $0.2 million from the same period in 2025 due to higher Allowance for Funds Used During Construction from increased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Charges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Charges for the three months ended March 31, 2026 increased $0.5 million from the same period in 2025 primarily due to higher average debt outstanding.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Income Taxes for the three months ended March 31, 2026 increased by $0.1 million from the same period in 2025, primarily due to higher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Cash Flows</w:t>
      </w:r>
    </w:p>
    <w:p>
      <w:pPr>
        <w:pStyle w:val="TextBody"/>
        <w:bidi w:val="0"/>
        <w:spacing w:lineRule="auto" w:line="288" w:before="0" w:after="240"/>
        <w:jc w:val="both"/>
        <w:rPr/>
      </w:pPr>
      <w:r>
        <w:rPr>
          <w:rFonts w:ascii="Times New Roman;serif" w:hAnsi="Times New Roman;serif"/>
          <w:b w:val="false"/>
          <w:color w:val="000000"/>
          <w:sz w:val="20"/>
        </w:rPr>
        <w:t xml:space="preserve">Cash flows from operations are largely based on four factors: weather, adequate and timely rate increases, effective cost management and customer growth. The effect of those factors on net income is discussed in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flows from operating activities decreased $2.1 million to $11.7 million. The decrease in cash flows from operating activities primarily resulted from higher vendor payments offset by the impact of Middlesex’s approved base rate increase effective February 23, 2026 and Tidewater's base rate increase effective July 3,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flows used in investing activities increased $1.7 million to $20.6 million due to increased utility plant expenditures in 2026.</w:t>
      </w:r>
    </w:p>
    <w:p>
      <w:pPr>
        <w:pStyle w:val="TextBody"/>
        <w:bidi w:val="0"/>
        <w:spacing w:lineRule="auto" w:line="288" w:before="0" w:after="240"/>
        <w:jc w:val="both"/>
        <w:rPr/>
      </w:pPr>
      <w:r>
        <w:rPr>
          <w:rFonts w:ascii="Times New Roman;serif" w:hAnsi="Times New Roman;serif"/>
          <w:b w:val="false"/>
          <w:color w:val="000000"/>
          <w:sz w:val="20"/>
        </w:rPr>
        <w:t xml:space="preserve">For further discussion on the Company’s future capital expenditures and expected funding sources, see </w:t>
      </w:r>
      <w:r>
        <w:rPr>
          <w:rFonts w:ascii="Times New Roman;serif" w:hAnsi="Times New Roman;serif"/>
          <w:b w:val="false"/>
          <w:i/>
          <w:color w:val="000000"/>
          <w:sz w:val="20"/>
        </w:rPr>
        <w:t>Capital Expenditures and Commitments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Cash Flows</w:t>
      </w:r>
    </w:p>
    <w:p>
      <w:pPr>
        <w:pStyle w:val="TextBody"/>
        <w:bidi w:val="0"/>
        <w:spacing w:lineRule="auto" w:line="288" w:before="0" w:after="240"/>
        <w:jc w:val="both"/>
        <w:rPr/>
      </w:pPr>
      <w:r>
        <w:rPr>
          <w:rFonts w:ascii="Times New Roman;serif" w:hAnsi="Times New Roman;serif"/>
          <w:b w:val="false"/>
          <w:color w:val="000000"/>
          <w:sz w:val="20"/>
        </w:rPr>
        <w:t xml:space="preserve">For the three months ended March 31, 2026, cash flows from financing activities increased $4.6 million to $8.2 million. The increase in cash flows provided by financing activities is due to higher long-term and short-term debt borrowings and the proceeds from the issuance of common stock under Middlesex’s At-the-Market (ATM) equity offering program (for further information on Middlesex’s ATM equity offering program, see below under </w:t>
      </w:r>
      <w:r>
        <w:rPr>
          <w:rFonts w:ascii="Times New Roman;serif" w:hAnsi="Times New Roman;serif"/>
          <w:b w:val="false"/>
          <w:i/>
          <w:color w:val="000000"/>
          <w:sz w:val="20"/>
        </w:rPr>
        <w:t xml:space="preserve">Capital Expenditures and Commitments) </w:t>
      </w:r>
      <w:r>
        <w:rPr>
          <w:rFonts w:ascii="Times New Roman;serif" w:hAnsi="Times New Roman;serif"/>
          <w:b w:val="false"/>
          <w:color w:val="000000"/>
          <w:sz w:val="20"/>
        </w:rPr>
        <w:t>partially offset by increased redemption of long-term-debt.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Expenditures and Commitments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fund our capital program, we use internally generated funds, short-term and long-term debt borrowings, proceeds from sales of common stock under the Middlesex Water Company Investment Plan and the ATM equity offering program, and when market conditions are favorable, proceeds from sales to the public of our common stock.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NJBPU has approved Middlesex's petition to borrow up to $260.0 million during the period January 2026 through December 2028, in one or more negotiated transactions in the form of notes and/or first mortgage bonds through loans from the New Jersey SRF Program, the New Jersey Economic Development Authority, private placement and other financial institutions as needed.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2024, Tidewater closed on a $2.2 million Delaware SRF loan with a 0.0% interest rate with maturity dates in 2044. This loan is for costs associated with Tidewater’s obligation, as required by federal law and Delaware regulations, to identify and inventory lead service lines throughout Tidewater’s service area. Tidewater has drawn down $1.8 million as of March 31, 2026 and expects that the requisitions will continue through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2024, Tidewater closed on four Delaware SRF loans totaling $5.6 million, all at interest rates of 2.0% with maturity dates in 2044. These loans are for the construction, relocation, improvement, and/or interconnection of transmission mains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and construction of a water treatment facility. In December 2025, Tidewater closed on an additional $1.0 million, 2.0% SRF loan with a maturity date of 2045 related to these projects. Tidewater has drawn down $2.1 million on these loans as of March 31, 2026. Each project has its own construction timetable with the last spending set to occur in 2027.</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December 2025, Southern Shores closed on a $0.4 million Delaware SRF loan with a 0.0% interest rate with a maturity date in 2045. This loan is for costs associated with Southern Shore’s obligation, as required by federal law and Delaware regulations, to identify and inventory lead service lines in its service area. Southern Shores has drawn down $0.2 million on these loans as of March 31, 2026 and does not anticipate any further draws.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Pinelands Water and Pinelands Wastewater repaid in full $3.7 million and $3.4 million, respectively, of their amortizing secured notes. The interest rates and due dates on both of these notes were 6.17% and 2043,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Tidewater filed a petition with the DEPSC seeking approval to issue up to $25 million of long-term debt through CoBank, ACB. Proceeds will be used to reduce Tidewater's Notes Payable and finance Tidewater's on-going capital program.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timing and method of sale of common stock is dependent on the timing of construction expenditures, the level of additional debt financing and financial market conditions.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NJBPU has approved Middlesex's petition to issue and sell up to 2.5 million shares of its common stock during the period January 2026 through December 2028, in one or more offerings through a traditional underwritten public offering and/or an ATM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2025, Middlesex entered into an ATM Equity Offering Sales Agreement (Equity Sales Agreement) with BofA Securities, Inc., Robert W. Baird &amp; Co. Incorporated, and Janney Montgomery Scott (Janney), pursuant to which Middlesex may offer and sell shares of its common stock, no par value per share, from time to time in “at-the-market” offerings, having an aggregate gross sales price of up to $110.0 million. As of February 20, 2026, the Equity Sales Agreement was amended, replacing Janney with Huntington Securities, Inc. as a sales agent. The Company intends to use the net proceeds from these sales, after deducting commissions and offering expenses, to fund our capital expenditures, to purchase and maintain plant equipment, as well as for other general corporate purposes. For the three months ended March 31, 2026, Middlesex issued and sold a total of 49,305 shares of common stock, at a weighted average price of $54.82 per share, and received $2.7 million in net proceeds, under the Equity Sales Agreement. As of March 31, 2026, the Company has $77.3 million of aggregate gross sales remaining under the Equity Sales Agreement.</w:t>
      </w:r>
    </w:p>
    <w:p>
      <w:pPr>
        <w:pStyle w:val="TextBody"/>
        <w:bidi w:val="0"/>
        <w:spacing w:lineRule="auto" w:line="288" w:before="0" w:after="240"/>
        <w:jc w:val="both"/>
        <w:rPr/>
      </w:pPr>
      <w:r>
        <w:rPr>
          <w:rFonts w:ascii="Times New Roman;serif" w:hAnsi="Times New Roman;serif"/>
          <w:b/>
          <w:color w:val="000000"/>
          <w:sz w:val="20"/>
        </w:rPr>
        <w:t>Recent Accounting Pronouncements</w:t>
      </w:r>
      <w:r>
        <w:rPr>
          <w:color w:val="000000"/>
        </w:rPr>
        <w:t xml:space="preserve"> – </w:t>
      </w:r>
      <w:r>
        <w:rPr>
          <w:rFonts w:ascii="Times New Roman;serif" w:hAnsi="Times New Roman;serif"/>
          <w:b w:val="false"/>
          <w:color w:val="000000"/>
          <w:sz w:val="20"/>
        </w:rPr>
        <w:t>See Note 1 of the Notes to Unaudited Condensed Consolidated Financial Statements for a discussion of recent accounting pronouncements and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of Market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2026 to 2059. Over the next twelve months, approximately $7.7 million of existing long-term debt instruments will mature. Applying a hypothetical change in the rate of interest charged by 10% on those borrowings would not have a material effect on our earnings. Fixed rate long-term debt and variable rate short-term debt agreements were not entered into for trading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retirement benefit plan assets are exposed to the market prices variations of debt and equity securities. Changes to the Company's retirement benefit plan asset values can impact the Company's retirement benefit plan expense, funded status and future minimum funding requirements. Our exposure to market price risk in our retirement benefit plan assets is managed through our ability to recover retirement benefit plan costs through customer rates. There were no material changes to our primary market risk exposures or how such exposures are managed in 2026 nor are there expected to be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information updates and amends the information provided in the Company’s Annual Report on Form 10-K for the year ended December 31, 2025 in Part I, Item 3—Legal Proceedings. Capitalized terms used but not otherwise defined herein have the meanings set forth in the Company’s Form 10-K.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lawsuits in the normal course of business. We believe the resolution of pending claims and legal proceedings will not have a material adverse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about risk factors does not differ materially from those set forth in Part I, Item 1A.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0" w:after="200"/>
        <w:ind w:left="0" w:right="0" w:hanging="360"/>
        <w:jc w:val="both"/>
        <w:rPr/>
      </w:pPr>
      <w:r>
        <w:rPr>
          <w:rFonts w:ascii="Times New Roman;serif" w:hAnsi="Times New Roman;serif"/>
          <w:b w:val="false"/>
          <w:color w:val="000000"/>
          <w:sz w:val="20"/>
        </w:rPr>
        <w:t>(c)</w:t>
      </w:r>
      <w:r>
        <w:rPr>
          <w:rFonts w:ascii="Times New Roman;serif" w:hAnsi="Times New Roman;serif"/>
          <w:b w:val="false"/>
          <w:i/>
          <w:color w:val="000000"/>
          <w:sz w:val="20"/>
        </w:rPr>
        <w:t>Insider Trading Arrangements and Policies -</w:t>
      </w:r>
      <w:r>
        <w:rPr>
          <w:color w:val="000000"/>
        </w:rPr>
        <w:t xml:space="preserve"> </w:t>
      </w: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3"/>
        <w:gridCol w:w="222"/>
        <w:gridCol w:w="224"/>
        <w:gridCol w:w="2815"/>
        <w:gridCol w:w="2769"/>
        <w:gridCol w:w="3922"/>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10.23(h)</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Amended and Restated $100,000,000 Revolving Line of Credit Note, dated February 17, 2026, between the Company, Tidewater Utilities, Inc., Utility Service Affiliates (Perth Amboy) Inc., Utility Service Affiliates Inc., While Marsh Environmental Systems, Inc. and Middlesex Water Maryland, Inc. and PNC Bank, N.A, filed as Exhibit 10.23(h) of the Company's Annual Report on Form 10-K for the year ended December 31, 2025</w:t>
              </w:r>
            </w:hyperlink>
            <w:r>
              <w:rPr>
                <w:rFonts w:ascii="Times New Roman;serif" w:hAnsi="Times New Roman;serif"/>
                <w:b w:val="false"/>
                <w:color w:val="000000"/>
                <w:sz w:val="20"/>
              </w:rPr>
              <w:t>.</w:t>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10.23(i)</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Amendment to Loan Documents, dated February 17, 2026, between the Company, Tidewater Utilities, Inc., Utility Service Affiliates (Perth Amboy) Inc., Utility Service Affiliates Inc., While Marsh Environmental Systems, Inc. and Middlesex Water Maryland, Inc. and PNC Bank, N.A., filed as Exhibit 10.23(i) of the Company's Annual Report on Form 10-K for the year ended December 31, 2025.</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10.59(a)</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Amendment to ATM Equity Offering Sales Agreement, dated February 20, 2026, by and among Middlesex Water Company and BofA Securities, Inc., Robert W. Baird &amp; Co. Incorporated, Janney Montgomery Scott LLC and Huntington Securities, Inc., filed as Exhibit 1.1 on the Company's Form 8-K dated February 24, 2026.</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11agreementandplan.htm">
              <w:r>
                <w:rPr>
                  <w:rStyle w:val="InternetLink"/>
                  <w:rFonts w:ascii="Times New Roman;serif" w:hAnsi="Times New Roman;serif"/>
                  <w:b w:val="false"/>
                  <w:color w:val="0000FF"/>
                  <w:sz w:val="20"/>
                  <w:u w:val="single"/>
                </w:rPr>
                <w:t>Middlesex Water Company, Pinelands Water Company and Pinelands Wastewater Company Agreement and Plan of Merger</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2.1.2</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12certificateofmer.htm">
              <w:r>
                <w:rPr>
                  <w:rStyle w:val="InternetLink"/>
                  <w:rFonts w:ascii="Times New Roman;serif" w:hAnsi="Times New Roman;serif"/>
                  <w:b w:val="false"/>
                  <w:color w:val="0000FF"/>
                  <w:sz w:val="20"/>
                  <w:u w:val="single"/>
                </w:rPr>
                <w:t>Certificate of Merger of Pinelands Water Company and Pinelands Wastewater Company With and Into Middlesex Water Company</w:t>
              </w:r>
            </w:hyperlink>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331xex311.htm">
              <w:r>
                <w:rPr>
                  <w:rStyle w:val="InternetLink"/>
                  <w:rFonts w:ascii="Times New Roman;serif" w:hAnsi="Times New Roman;serif"/>
                  <w:b w:val="false"/>
                  <w:color w:val="0000FF"/>
                  <w:sz w:val="20"/>
                  <w:u w:val="single"/>
                </w:rPr>
                <w:t>Section 302 Certification by Nadine Leslie pursuant to Rules 13a-14 and 15d-14 of the Securities Exchange Act of 1934.</w:t>
              </w:r>
            </w:hyperlink>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331xex312.htm">
              <w:r>
                <w:rPr>
                  <w:rStyle w:val="InternetLink"/>
                  <w:rFonts w:ascii="Times New Roman;serif" w:hAnsi="Times New Roman;serif"/>
                  <w:b w:val="false"/>
                  <w:color w:val="0000FF"/>
                  <w:sz w:val="20"/>
                  <w:u w:val="single"/>
                </w:rPr>
                <w:t>Section 302 Certification by Mohammed G. Zerhouni pursuant to Rules 13a-14 and 15d-14 of the Securities Exchange Act of 1934.</w:t>
              </w:r>
            </w:hyperlink>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331xex321.htm">
              <w:r>
                <w:rPr>
                  <w:rStyle w:val="InternetLink"/>
                  <w:rFonts w:ascii="Times New Roman;serif" w:hAnsi="Times New Roman;serif"/>
                  <w:b w:val="false"/>
                  <w:color w:val="0000FF"/>
                  <w:sz w:val="20"/>
                  <w:u w:val="single"/>
                </w:rPr>
                <w:t>Section 906 Certification by Nadine Leslie pursuant to 18 U.S.C. §1350, as adopted pursuant to Section 302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331xex322.htm">
              <w:r>
                <w:rPr>
                  <w:rStyle w:val="InternetLink"/>
                  <w:rFonts w:ascii="Times New Roman;serif" w:hAnsi="Times New Roman;serif"/>
                  <w:b w:val="false"/>
                  <w:color w:val="0000FF"/>
                  <w:sz w:val="20"/>
                  <w:u w:val="single"/>
                </w:rPr>
                <w:t>Section 906 Certification by Mohammed G. Zerhouni pursuant to 18 U.S.C. §1350, as adopted pursuant to Section 302 of the Sarbanes-Oxley Act of 2002.</w:t>
              </w:r>
            </w:hyperlink>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Schema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Calculation Linkbase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Labels Linkbase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Presentation Linkbase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Definition Linkbase Document</w:t>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74b0127d56964843b04734feec9656f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764" w:type="dxa"/>
        <w:jc w:val="left"/>
        <w:tblInd w:w="0" w:type="dxa"/>
        <w:tblLayout w:type="fixed"/>
        <w:tblCellMar>
          <w:top w:w="28" w:type="dxa"/>
          <w:left w:w="28" w:type="dxa"/>
          <w:bottom w:w="28" w:type="dxa"/>
          <w:right w:w="28" w:type="dxa"/>
        </w:tblCellMar>
      </w:tblPr>
      <w:tblGrid>
        <w:gridCol w:w="124"/>
        <w:gridCol w:w="109"/>
        <w:gridCol w:w="109"/>
        <w:gridCol w:w="466"/>
        <w:gridCol w:w="466"/>
        <w:gridCol w:w="466"/>
        <w:gridCol w:w="1463"/>
        <w:gridCol w:w="1463"/>
        <w:gridCol w:w="20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Nadine Leslie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Chair,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April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2.1.1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AGREEMENT AND PLAN OF MERGER</w:t>
      </w:r>
    </w:p>
    <w:p>
      <w:pPr>
        <w:pStyle w:val="TextBody"/>
        <w:bidi w:val="0"/>
        <w:spacing w:lineRule="auto" w:line="288" w:before="0" w:after="0"/>
        <w:ind w:left="0" w:right="0" w:firstLine="720"/>
        <w:jc w:val="both"/>
        <w:rPr/>
      </w:pPr>
      <w:r>
        <w:rPr>
          <w:rFonts w:ascii="Times New Roman;serif" w:hAnsi="Times New Roman;serif"/>
          <w:b w:val="false"/>
          <w:color w:val="000000"/>
          <w:sz w:val="24"/>
        </w:rPr>
        <w:t>THIS AGREEMENT AND PLAN OF MERGER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is made and entered into on this </w:t>
      </w:r>
      <w:r>
        <w:rPr>
          <w:rFonts w:ascii="Times New Roman;serif" w:hAnsi="Times New Roman;serif"/>
          <w:b w:val="false"/>
          <w:color w:val="000000"/>
          <w:sz w:val="24"/>
          <w:u w:val="single"/>
        </w:rPr>
        <w:t>1st</w:t>
      </w:r>
      <w:r>
        <w:rPr>
          <w:color w:val="000000"/>
        </w:rPr>
        <w:t xml:space="preserve"> </w:t>
      </w:r>
      <w:r>
        <w:rPr>
          <w:rFonts w:ascii="Times New Roman;serif" w:hAnsi="Times New Roman;serif"/>
          <w:b w:val="false"/>
          <w:color w:val="000000"/>
          <w:sz w:val="24"/>
        </w:rPr>
        <w:t>day of April, 2026 by and among Middlesex Water Company, a New Jersey corporation (“Middlesex”) and Pinelands Water Company, a New Jersey corporation (“Pinelands Water”), and Pinelands Wastewater Company (“Pinelands Wastewater”), a New Jersey corporation. Middlesex, Pinelands Water and Pinelands Wastewater are sometimes referred to herein each as a “Party” and together as the “Parties”.</w:t>
      </w:r>
    </w:p>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color w:val="000000"/>
          <w:sz w:val="24"/>
          <w:u w:val="single"/>
        </w:rPr>
        <w:t>RECITALS</w:t>
      </w:r>
      <w:r>
        <w:rPr>
          <w:rFonts w:ascii="Times New Roman;serif" w:hAnsi="Times New Roman;serif"/>
          <w:b/>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Middlesex is a corporation duly organized and validly existing under the laws of the State of New Jersey, providing public water service in various municipalities throughout the State of New Jersey and is regulated as a public utility company in New Jersey;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Pinelands Water is a corporation duly organized and validly existing under the laws of the State of New Jersey, providing public water service in Southampton Township, Burlington County in the State of New Jersey and is regulated as a public utility company in New Jersey;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Pinelands Wastewater is a corporation duly organized and validly existing under the laws of the State of New Jersey, providing public wastewater service in Southampton Township, Burlington County in the State of New Jersey and is regulated as a public utility company in New Jersey;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Middlesex is the sole shareholder of Pinelands Water and and Pinelands Wastewater;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Parties have agreed upon a plan for Pinelands Water and Pinelands Wastewater to merge with and into Middlesex, with Middlesex as the surviving entity (the “Merger”);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Boards of Directors of Middlesex, Pinelands Water and Pinelands Wastewater has each adopted and approved this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respective Boards of Directors of Middlesex, Pinelands Water and Pinelands Wastewater have each deemed it advisable and in the best interests of their respective stockholders to consummate the merger provided for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covenants, promises and representations set forth herein, and for other good and valuable consideration, the receipt and sufficiency of which are hereby acknowledged, and intending to be legally bound, the Parties agree as follows:</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THE MERGER</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1.1    </w:t>
      </w:r>
      <w:r>
        <w:rPr>
          <w:rFonts w:ascii="Times New Roman;serif" w:hAnsi="Times New Roman;serif"/>
          <w:b w:val="false"/>
          <w:color w:val="000000"/>
          <w:sz w:val="24"/>
          <w:u w:val="single"/>
        </w:rPr>
        <w:t>The Merger</w:t>
      </w:r>
      <w:r>
        <w:rPr>
          <w:rFonts w:ascii="Times New Roman;serif" w:hAnsi="Times New Roman;serif"/>
          <w:b w:val="false"/>
          <w:color w:val="000000"/>
          <w:sz w:val="24"/>
        </w:rPr>
        <w:t xml:space="preserve">.    At the “Effective Time” (as defined in Section 1.2 below) and subject to and upon the terms and conditions of this Agreement and the applicable provisions of the New Jersey Business Corporation Act (the “BCA”) (N.J.S.A. §14A:1.1 </w:t>
      </w:r>
      <w:r>
        <w:rPr>
          <w:rFonts w:ascii="Times New Roman;serif" w:hAnsi="Times New Roman;serif"/>
          <w:b w:val="false"/>
          <w:color w:val="000000"/>
          <w:sz w:val="24"/>
          <w:u w:val="single"/>
        </w:rPr>
        <w:t>et</w:t>
      </w:r>
      <w:r>
        <w:rPr>
          <w:color w:val="000000"/>
        </w:rPr>
        <w:t xml:space="preserve"> </w:t>
      </w:r>
      <w:r>
        <w:rPr>
          <w:rFonts w:ascii="Times New Roman;serif" w:hAnsi="Times New Roman;serif"/>
          <w:b w:val="false"/>
          <w:color w:val="000000"/>
          <w:sz w:val="24"/>
          <w:u w:val="single"/>
        </w:rPr>
        <w:t>seq.</w:t>
      </w:r>
      <w:r>
        <w:rPr>
          <w:rFonts w:ascii="Times New Roman;serif" w:hAnsi="Times New Roman;serif"/>
          <w:b w:val="false"/>
          <w:color w:val="000000"/>
          <w:sz w:val="24"/>
        </w:rPr>
        <w:t>), Pinelands Water and Pinelands Wastewater shall be merged with and into Middlesex, the separate corporate existence of Pinelands Water and Pinelands Wastewater shall cease, and Middlesex shall continue as the surviving corporation. Middlesex, as the surviving corporation after the Merger, is hereinafter sometimes refereed to as the “Surviving Corporation.” The Merger shall have the effects set forth in this Agreement and in the BCA.</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1.2    </w:t>
      </w:r>
      <w:r>
        <w:rPr>
          <w:rFonts w:ascii="Times New Roman;serif" w:hAnsi="Times New Roman;serif"/>
          <w:b w:val="false"/>
          <w:color w:val="000000"/>
          <w:sz w:val="24"/>
          <w:u w:val="single"/>
        </w:rPr>
        <w:t>Effective Time; Closing.</w:t>
      </w:r>
      <w:r>
        <w:rPr>
          <w:color w:val="000000"/>
        </w:rPr>
        <w:t xml:space="preserve"> </w:t>
      </w:r>
      <w:r>
        <w:rPr>
          <w:rFonts w:ascii="Times New Roman;serif" w:hAnsi="Times New Roman;serif"/>
          <w:b w:val="false"/>
          <w:color w:val="000000"/>
          <w:sz w:val="24"/>
        </w:rPr>
        <w:t>Subject to the provisions of this Agreement, the Parties shall cause the Merger to be consummated by filing a Certificate of Merger with the Secretary of State of the State of New jersey, and the Department of the Treasurer, Division of Revenue, of the State of New Jersey in the form attached hereto as Exhibit A (the “Certificate of Merger”) as soon as practicable. The time of the filing of the Certificate of Merger, or such later time as may be specified in the Certificate of Merger, shall be the “Effective Time.” The date on which the Closing shall occur is referred to herein as the “Closing Date.”</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1.3    </w:t>
      </w:r>
      <w:r>
        <w:rPr>
          <w:rFonts w:ascii="Times New Roman;serif" w:hAnsi="Times New Roman;serif"/>
          <w:b w:val="false"/>
          <w:color w:val="000000"/>
          <w:sz w:val="24"/>
          <w:u w:val="single"/>
        </w:rPr>
        <w:t>Effect of the Merger</w:t>
      </w:r>
      <w:r>
        <w:rPr>
          <w:rFonts w:ascii="Times New Roman;serif" w:hAnsi="Times New Roman;serif"/>
          <w:b w:val="false"/>
          <w:color w:val="000000"/>
          <w:sz w:val="24"/>
        </w:rPr>
        <w:t>.    At the Effective Time, the effect of the Merger shall be as provided in this Agreement and the applicable provisions of the BCA. Without limiting the generality of the foregoing, and subject thereto, at the Effective Time all property rights, immunities, privileges, powers and franchises of each of Pinelands Water and Pinelands Wastewater shall vest in the Surviving Corporation, and all debts, liabilities and duties of each of Pinelands Water and Pinelands Wastewater shall become the debts, liabilities and duties of the Surviving Corporation.</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1.4    </w:t>
      </w:r>
      <w:r>
        <w:rPr>
          <w:rFonts w:ascii="Times New Roman;serif" w:hAnsi="Times New Roman;serif"/>
          <w:b w:val="false"/>
          <w:color w:val="000000"/>
          <w:sz w:val="24"/>
          <w:u w:val="single"/>
        </w:rPr>
        <w:t>Certificate of Incorporation</w:t>
      </w:r>
      <w:r>
        <w:rPr>
          <w:rFonts w:ascii="Times New Roman;serif" w:hAnsi="Times New Roman;serif"/>
          <w:b w:val="false"/>
          <w:color w:val="000000"/>
          <w:sz w:val="24"/>
        </w:rPr>
        <w:t>.    The Certificate of Incorporation of Middlesex (the “Certificate of Incorporation”) as in effect immediately prior to the Effective Time shall be the Certificate of Incorporation of the Surviving Corporation.</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1.5    </w:t>
      </w:r>
      <w:r>
        <w:rPr>
          <w:rFonts w:ascii="Times New Roman;serif" w:hAnsi="Times New Roman;serif"/>
          <w:b w:val="false"/>
          <w:color w:val="000000"/>
          <w:sz w:val="24"/>
          <w:u w:val="single"/>
        </w:rPr>
        <w:t>By-Laws</w:t>
      </w:r>
      <w:r>
        <w:rPr>
          <w:rFonts w:ascii="Times New Roman;serif" w:hAnsi="Times New Roman;serif"/>
          <w:b w:val="false"/>
          <w:color w:val="000000"/>
          <w:sz w:val="24"/>
        </w:rPr>
        <w:t>. The By-Laws of Middlesex (the “Certificate of Incorporation”) as in effect immediately prior to the Effective Time shall be the By-Laws of the Surviving Corporation.</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1.6    </w:t>
      </w:r>
      <w:r>
        <w:rPr>
          <w:rFonts w:ascii="Times New Roman;serif" w:hAnsi="Times New Roman;serif"/>
          <w:b w:val="false"/>
          <w:color w:val="000000"/>
          <w:sz w:val="24"/>
          <w:u w:val="single"/>
        </w:rPr>
        <w:t>Directors and Officers</w:t>
      </w:r>
      <w:r>
        <w:rPr>
          <w:rFonts w:ascii="Times New Roman;serif" w:hAnsi="Times New Roman;serif"/>
          <w:b w:val="false"/>
          <w:color w:val="000000"/>
          <w:sz w:val="24"/>
        </w:rPr>
        <w:t>. The initial directors and officers of the Surviving Corporation shall be the directors and officers of Middlesex, until their respective successors are duly elected or appointed and qualified in accordance with the Surviving Corporation’s Certificate of Incorporation and By-Laws.</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1.7    </w:t>
      </w:r>
      <w:r>
        <w:rPr>
          <w:rFonts w:ascii="Times New Roman;serif" w:hAnsi="Times New Roman;serif"/>
          <w:b w:val="false"/>
          <w:color w:val="000000"/>
          <w:sz w:val="24"/>
          <w:u w:val="single"/>
        </w:rPr>
        <w:t>Effect on Capital Stock</w:t>
      </w:r>
      <w:r>
        <w:rPr>
          <w:rFonts w:ascii="Times New Roman;serif" w:hAnsi="Times New Roman;serif"/>
          <w:b w:val="false"/>
          <w:color w:val="000000"/>
          <w:sz w:val="24"/>
        </w:rPr>
        <w:t xml:space="preserve">. At the Effective Time, by virtue of the Merger and without any action on the part of the Parties, all of the capital stock of each of Pinelands Water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Pinelands Wastewater shall be cancelled, and the capital stock of Middlesex shall remain unaffected.</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1.8    </w:t>
      </w:r>
      <w:r>
        <w:rPr>
          <w:rFonts w:ascii="Times New Roman;serif" w:hAnsi="Times New Roman;serif"/>
          <w:b w:val="false"/>
          <w:color w:val="000000"/>
          <w:sz w:val="24"/>
          <w:u w:val="single"/>
        </w:rPr>
        <w:t>Taking of Necessary Action; Further Action</w:t>
      </w:r>
      <w:r>
        <w:rPr>
          <w:rFonts w:ascii="Times New Roman;serif" w:hAnsi="Times New Roman;serif"/>
          <w:b w:val="false"/>
          <w:color w:val="000000"/>
          <w:sz w:val="24"/>
        </w:rPr>
        <w:t>.     If, at any time after the Effective Time, any further action is necessary or desirable to carry out the purposes of this Agreement and to vest the Surviving Corporation with full right, title and possession of all assets, property, rights, privileges, powers and franchises of Pinelands Water and Pinelands Wastewater, the officers and directors of the Surviving Corporation are authorized and directed to take all such lawful and necessary action.</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CONDITIONS PRECEDENT TO CLOSING</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2.1    </w:t>
      </w:r>
      <w:r>
        <w:rPr>
          <w:rFonts w:ascii="Times New Roman;serif" w:hAnsi="Times New Roman;serif"/>
          <w:b w:val="false"/>
          <w:color w:val="000000"/>
          <w:sz w:val="24"/>
          <w:u w:val="single"/>
        </w:rPr>
        <w:t>Approvals</w:t>
      </w:r>
      <w:r>
        <w:rPr>
          <w:rFonts w:ascii="Times New Roman;serif" w:hAnsi="Times New Roman;serif"/>
          <w:b w:val="false"/>
          <w:color w:val="000000"/>
          <w:sz w:val="24"/>
        </w:rPr>
        <w:t>.    Middlesex shall have received evidence, in form and substance reasonably satisfactory to the counsel for Middlesex, that all material consents, waivers, releases, authorizations, approvals, licenses, certificates, permits and franchises of all persons, entities and governmental bodies (including the New Jersey Board of Public Utilities) as may be necessary to lawfully consummate the merger contemplated by this Agreement and for Middlesex to carry on and continue the business of Pinelands Water and Pinelands Wastewater as they are now conducted have been obtained.</w: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TERMINATION</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3.1    </w:t>
      </w:r>
      <w:r>
        <w:rPr>
          <w:rFonts w:ascii="Times New Roman;serif" w:hAnsi="Times New Roman;serif"/>
          <w:b w:val="false"/>
          <w:color w:val="000000"/>
          <w:sz w:val="24"/>
          <w:u w:val="single"/>
        </w:rPr>
        <w:t>Termination; Written Notice</w:t>
      </w:r>
      <w:r>
        <w:rPr>
          <w:rFonts w:ascii="Times New Roman;serif" w:hAnsi="Times New Roman;serif"/>
          <w:b w:val="false"/>
          <w:color w:val="000000"/>
          <w:sz w:val="24"/>
        </w:rPr>
        <w:t>. This Agreement may be terminated by any Party at any time, for any reason. In the event of termination or abandonment by any Party, written notice shall forthwith be given to each other Party and no Party shall have any liability to the other hereunder except such liability as may arise as a result of a breach hereof.</w: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GENERAL PROVISIONS</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4.1    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in accordance with the domestic laws of the State of New Jersey, without giving effect to any choice of law or conflict provision or rule (whether the State of New Jersey or any other jurisdiction) that would cause the laws of any jurisdiction other than the State of New Jersey to be applied.</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4.2    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Agreement shall be binding upon and shall inure to the benefit of the Parties hereto and their respective heirs, executors, administrators, successors and assigns.</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4.3    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and the documents and instruments and other agreements among the Parties hereto as contemplated by or referred to herein, constitute the entire agreement among the Parties with respect to the subject matter hereof and superseded all prior agreements and understandings, both written and oral, among the Parties with respect to the subject matter hereof.</w: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4.4    </w:t>
      </w:r>
      <w:r>
        <w:rPr>
          <w:rFonts w:ascii="Times New Roman;serif" w:hAnsi="Times New Roman;serif"/>
          <w:b w:val="false"/>
          <w:color w:val="000000"/>
          <w:sz w:val="24"/>
          <w:u w:val="single"/>
        </w:rPr>
        <w:t>Definitions; References</w:t>
      </w:r>
      <w:r>
        <w:rPr>
          <w:rFonts w:ascii="Times New Roman;serif" w:hAnsi="Times New Roman;serif"/>
          <w:b w:val="false"/>
          <w:color w:val="000000"/>
          <w:sz w:val="24"/>
        </w:rPr>
        <w:t>. Terms defined in this Agreement in the singular have a correlative meaning when used in the plural and vice versa. Unless otherwise indicated, references in this Agreement to Articles, Sections, Subsections, Exhibits and Schedules are to Articles, Sections, Subsections, Exhibits and Schedules of this Agreement.</w: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intending to be legally bound hereby, have executed this Agreement as of the date first written above.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MIDDLESEX WATER COMPANY</w:t>
      </w:r>
      <w:r>
        <w:rPr>
          <w:color w:val="000000"/>
        </w:rPr>
        <w:t>         </w:t>
      </w:r>
      <w:r>
        <w:rPr>
          <w:rFonts w:ascii="Times New Roman;serif" w:hAnsi="Times New Roman;serif"/>
          <w:b w:val="false"/>
          <w:color w:val="000000"/>
          <w:sz w:val="24"/>
        </w:rPr>
        <w:br/>
        <w:br/>
        <w:t>By:</w:t>
      </w:r>
      <w:r>
        <w:rPr>
          <w:color w:val="000000"/>
          <w:u w:val="single"/>
        </w:rPr>
        <w:t>    </w:t>
      </w:r>
      <w:r>
        <w:rPr>
          <w:rFonts w:ascii="Times New Roman;serif" w:hAnsi="Times New Roman;serif"/>
          <w:b w:val="false"/>
          <w:color w:val="000000"/>
          <w:sz w:val="24"/>
          <w:u w:val="single"/>
        </w:rPr>
        <w:t xml:space="preserve">/s/ Nadine Leslie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Nadine Leslie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                </w:t>
      </w:r>
    </w:p>
    <w:p>
      <w:pPr>
        <w:pStyle w:val="TextBody"/>
        <w:bidi w:val="0"/>
        <w:spacing w:lineRule="auto" w:line="288" w:before="0" w:after="24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PINELANDS WATER COMPANY</w:t>
      </w:r>
      <w:r>
        <w:rPr>
          <w:color w:val="000000"/>
        </w:rPr>
        <w:t>         </w:t>
      </w:r>
      <w:r>
        <w:rPr>
          <w:rFonts w:ascii="Times New Roman;serif" w:hAnsi="Times New Roman;serif"/>
          <w:b w:val="false"/>
          <w:color w:val="000000"/>
          <w:sz w:val="24"/>
        </w:rPr>
        <w:br/>
        <w:br/>
        <w:t>By:</w:t>
      </w:r>
      <w:r>
        <w:rPr>
          <w:color w:val="000000"/>
          <w:u w:val="single"/>
        </w:rPr>
        <w:t>    </w:t>
      </w:r>
      <w:r>
        <w:rPr>
          <w:rFonts w:ascii="Times New Roman;serif" w:hAnsi="Times New Roman;serif"/>
          <w:b w:val="false"/>
          <w:color w:val="000000"/>
          <w:sz w:val="24"/>
          <w:u w:val="single"/>
        </w:rPr>
        <w:t xml:space="preserve">/s/ Robert K. Fullagar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Robert K. Fullagar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0" w:after="240"/>
        <w:jc w:val="both"/>
        <w:rPr/>
      </w:pPr>
      <w:r>
        <w:rPr/>
      </w:r>
    </w:p>
    <w:p>
      <w:pPr>
        <w:pStyle w:val="TextBody"/>
        <w:bidi w:val="0"/>
        <w:spacing w:lineRule="auto" w:line="288" w:before="0" w:after="0"/>
        <w:jc w:val="both"/>
        <w:rPr/>
      </w:pPr>
      <w:r>
        <w:rPr>
          <w:rFonts w:ascii="Times New Roman;serif" w:hAnsi="Times New Roman;serif"/>
          <w:b/>
          <w:color w:val="000000"/>
          <w:sz w:val="24"/>
        </w:rPr>
        <w:t>PINELANDS WASTEWATER COMPANY</w:t>
      </w:r>
      <w:r>
        <w:rPr>
          <w:color w:val="000000"/>
        </w:rPr>
        <w:t>         </w:t>
      </w:r>
      <w:r>
        <w:rPr>
          <w:rFonts w:ascii="Times New Roman;serif" w:hAnsi="Times New Roman;serif"/>
          <w:b w:val="false"/>
          <w:color w:val="000000"/>
          <w:sz w:val="24"/>
        </w:rPr>
        <w:br/>
        <w:br/>
        <w:t>By:</w:t>
      </w:r>
      <w:r>
        <w:rPr>
          <w:color w:val="000000"/>
          <w:u w:val="single"/>
        </w:rPr>
        <w:t>    </w:t>
      </w:r>
      <w:r>
        <w:rPr>
          <w:rFonts w:ascii="Times New Roman;serif" w:hAnsi="Times New Roman;serif"/>
          <w:b w:val="false"/>
          <w:color w:val="000000"/>
          <w:sz w:val="24"/>
          <w:u w:val="single"/>
        </w:rPr>
        <w:t>/s/ Robert K. Fullagar</w:t>
      </w:r>
      <w:r>
        <w:rPr>
          <w:color w:val="000000"/>
        </w:rPr>
        <w:t>    </w:t>
      </w:r>
      <w:r>
        <w:rPr>
          <w:color w:val="000000"/>
          <w:u w:val="single"/>
        </w:rPr>
        <w:t xml:space="preserve">         </w:t>
      </w:r>
      <w:r>
        <w:rPr>
          <w:color w:val="000000"/>
        </w:rPr>
        <w:t>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Name:     Robert K. Fullagar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Exhibit 2.1.2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CERTIFICATE OF MERGER</w:t>
      </w:r>
    </w:p>
    <w:p>
      <w:pPr>
        <w:pStyle w:val="TextBody"/>
        <w:bidi w:val="0"/>
        <w:spacing w:lineRule="auto" w:line="288"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PINELANDS WATER COMPANY</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AND </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PINELANDS WASTEWATER COMPANY</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WITH AND INTO</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MIDDLESEX WATER COMPANY</w:t>
      </w:r>
    </w:p>
    <w:p>
      <w:pPr>
        <w:pStyle w:val="TextBody"/>
        <w:bidi w:val="0"/>
        <w:spacing w:before="0" w:after="240"/>
        <w:ind w:left="0" w:right="0" w:firstLine="72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the Department of the Treasury of the State of New Jersey: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the provisions of Section 14A:10-7 of the New Jersey Business Corporation Act, it is hereby certified that: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1.    The names of the merging corporations are Pinelands Water Company and Pinelands Wastewater Company, each a business corporation organized under the laws of the State of New Jersey, and Middlesex Water Company, a business corporation organized under the laws of the State of New Jersey (the “Merger”).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2.    The name of the surviving corporation is Middlesex Water Company, a corporation organized under the laws of the State of New Jersey (the “Surviving Corporation”).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3.    Annexed hereto and made part hereof is the Agreement and Plan of Merger for merging Pinelands Water Company and Pinelands Wastewater Company with and into Middlesex Water Company as approved by the sole shareholder and Board of Directors of each corporation.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4.    The number of shares of Pinelands Water Company which were entitled to vote at the time of the approval of the Plan of Merger by its sole shareholder is 100 shares of common stock, all of which are of one class.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The sole shareholder of Pinelands Water Company entitled to vote approved the Agreement and Plan of Merger pursuant to its written consent without a meeting of the sole shareholder; and the number of shares represented by such consents is 100 shares. The date of said consent and approval was April 25, 2025.</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5.    The number of shares of Pinelands Wastewater Company which were entitled to vote at the time of the approval of the Plan of Merger by its sole shareholder is 100 shares of common stock, all of which are of one class.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The sole shareholder of Pinelands Wastewater Company entitled to vote approved the Agreement and Plan of Merger pursuant to its written consent without a meeting of the sole shareholder; and the number of shares represented by such consents is 100 shares. The date of said consent and approval was April 25, 2025.</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6.    The effective date of the merger herein provided for in the State of New Jersey shall be as of 12:01 A,M. on April 1, 2026.</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rPr>
        <w:t>Executed on April _</w:t>
      </w:r>
      <w:r>
        <w:rPr>
          <w:rFonts w:ascii="Times New Roman;serif" w:hAnsi="Times New Roman;serif"/>
          <w:b w:val="false"/>
          <w:color w:val="000000"/>
          <w:sz w:val="24"/>
          <w:u w:val="single"/>
        </w:rPr>
        <w:t>1</w:t>
      </w:r>
      <w:r>
        <w:rPr>
          <w:rFonts w:ascii="Times New Roman;serif" w:hAnsi="Times New Roman;serif"/>
          <w:b w:val="false"/>
          <w:color w:val="000000"/>
          <w:sz w:val="24"/>
        </w:rPr>
        <w:t>_, 2026.</w:t>
      </w:r>
    </w:p>
    <w:p>
      <w:pPr>
        <w:pStyle w:val="TextBody"/>
        <w:bidi w:val="0"/>
        <w:spacing w:lineRule="auto" w:line="288" w:before="0" w:after="24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MIDDLESEX WATER COMPANY</w:t>
      </w:r>
      <w:r>
        <w:rPr>
          <w:color w:val="000000"/>
        </w:rPr>
        <w:t>         </w:t>
      </w:r>
      <w:r>
        <w:rPr>
          <w:rFonts w:ascii="Times New Roman;serif" w:hAnsi="Times New Roman;serif"/>
          <w:b w:val="false"/>
          <w:color w:val="000000"/>
          <w:sz w:val="24"/>
        </w:rPr>
        <w:br/>
        <w:br/>
        <w:t>By:</w:t>
      </w:r>
      <w:r>
        <w:rPr>
          <w:color w:val="000000"/>
          <w:u w:val="single"/>
        </w:rPr>
        <w:t>    </w:t>
      </w:r>
      <w:r>
        <w:rPr>
          <w:rFonts w:ascii="Times New Roman;serif" w:hAnsi="Times New Roman;serif"/>
          <w:b w:val="false"/>
          <w:color w:val="000000"/>
          <w:sz w:val="24"/>
          <w:u w:val="single"/>
        </w:rPr>
        <w:t xml:space="preserve">/s/ Nadine Leslie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Nadine Leslie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                </w:t>
      </w:r>
    </w:p>
    <w:p>
      <w:pPr>
        <w:pStyle w:val="TextBody"/>
        <w:bidi w:val="0"/>
        <w:spacing w:lineRule="auto" w:line="288" w:before="0" w:after="24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PINELANDS WATER COMPANY</w:t>
      </w:r>
      <w:r>
        <w:rPr>
          <w:color w:val="000000"/>
        </w:rPr>
        <w:t>         </w:t>
      </w:r>
      <w:r>
        <w:rPr>
          <w:rFonts w:ascii="Times New Roman;serif" w:hAnsi="Times New Roman;serif"/>
          <w:b w:val="false"/>
          <w:color w:val="000000"/>
          <w:sz w:val="24"/>
        </w:rPr>
        <w:br/>
        <w:br/>
        <w:t>By:</w:t>
      </w:r>
      <w:r>
        <w:rPr>
          <w:color w:val="000000"/>
          <w:u w:val="single"/>
        </w:rPr>
        <w:t>    </w:t>
      </w:r>
      <w:r>
        <w:rPr>
          <w:rFonts w:ascii="Times New Roman;serif" w:hAnsi="Times New Roman;serif"/>
          <w:b w:val="false"/>
          <w:color w:val="000000"/>
          <w:sz w:val="24"/>
          <w:u w:val="single"/>
        </w:rPr>
        <w:t xml:space="preserve">/s/ Robert K. Fullagar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Robert K. Fullagar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0" w:after="240"/>
        <w:jc w:val="both"/>
        <w:rPr/>
      </w:pPr>
      <w:r>
        <w:rPr/>
      </w:r>
    </w:p>
    <w:p>
      <w:pPr>
        <w:pStyle w:val="TextBody"/>
        <w:bidi w:val="0"/>
        <w:spacing w:lineRule="auto" w:line="288" w:before="0" w:after="0"/>
        <w:jc w:val="both"/>
        <w:rPr/>
      </w:pPr>
      <w:r>
        <w:rPr>
          <w:rFonts w:ascii="Times New Roman;serif" w:hAnsi="Times New Roman;serif"/>
          <w:b/>
          <w:color w:val="000000"/>
          <w:sz w:val="24"/>
        </w:rPr>
        <w:t>PINELANDS WASTEWATER COMPANY</w:t>
      </w:r>
      <w:r>
        <w:rPr>
          <w:color w:val="000000"/>
        </w:rPr>
        <w:t>         </w:t>
      </w:r>
      <w:r>
        <w:rPr>
          <w:rFonts w:ascii="Times New Roman;serif" w:hAnsi="Times New Roman;serif"/>
          <w:b w:val="false"/>
          <w:color w:val="000000"/>
          <w:sz w:val="24"/>
        </w:rPr>
        <w:br/>
        <w:br/>
        <w:t>By:</w:t>
      </w:r>
      <w:r>
        <w:rPr>
          <w:color w:val="000000"/>
          <w:u w:val="single"/>
        </w:rPr>
        <w:t>    </w:t>
      </w:r>
      <w:r>
        <w:rPr>
          <w:rFonts w:ascii="Times New Roman;serif" w:hAnsi="Times New Roman;serif"/>
          <w:b w:val="false"/>
          <w:color w:val="000000"/>
          <w:sz w:val="24"/>
          <w:u w:val="single"/>
        </w:rPr>
        <w:t xml:space="preserve">/s/ Robert K. Fullagar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Robert K. Fullagar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 AND PLAN OF MERGER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 PURSUANT TO RULES 13a-14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15d-14 OF THE SECURITIES EXCHANGE ACT OF 1934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Nadine Leslie,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Middlesex Water Company (the “registrant”);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Nadine Leslie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 PURSUANT TO RULES 13a-14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15d-14 OF THE SECURITIES EXCHANGE ACT OF 1934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Mohammed G. Zerhouni,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Middlesex Water Company (the “registrant”);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Mohammed G. Zerhouni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CERTIFICATION PURSUANT TO 18 U.S.C. §1350</w:t>
      </w:r>
    </w:p>
    <w:p>
      <w:pPr>
        <w:pStyle w:val="TextBody"/>
        <w:bidi w:val="0"/>
        <w:spacing w:lineRule="auto" w:line="288" w:before="0" w:after="400"/>
        <w:jc w:val="both"/>
        <w:rPr>
          <w:rFonts w:ascii="Times New Roman;serif" w:hAnsi="Times New Roman;serif"/>
          <w:b w:val="false"/>
          <w:color w:val="000000"/>
          <w:sz w:val="20"/>
        </w:rPr>
      </w:pPr>
      <w:r>
        <w:rPr>
          <w:rFonts w:ascii="Times New Roman;serif" w:hAnsi="Times New Roman;serif"/>
          <w:b w:val="false"/>
          <w:color w:val="000000"/>
          <w:sz w:val="20"/>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Nadine Leslie</w:t>
      </w:r>
    </w:p>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April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CERTIFICATION PURSUANT TO 18 U.S.C. §1350</w:t>
      </w:r>
    </w:p>
    <w:p>
      <w:pPr>
        <w:pStyle w:val="TextBody"/>
        <w:bidi w:val="0"/>
        <w:spacing w:lineRule="auto" w:line="288" w:before="0" w:after="800"/>
        <w:jc w:val="both"/>
        <w:rPr>
          <w:rFonts w:ascii="Times New Roman;serif" w:hAnsi="Times New Roman;serif"/>
          <w:b w:val="false"/>
          <w:color w:val="000000"/>
          <w:sz w:val="20"/>
        </w:rPr>
      </w:pPr>
      <w:r>
        <w:rPr>
          <w:rFonts w:ascii="Times New Roman;serif" w:hAnsi="Times New Roman;serif"/>
          <w:b w:val="false"/>
          <w:color w:val="000000"/>
          <w:sz w:val="20"/>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lineRule="auto" w:line="288" w:before="0" w:after="0"/>
        <w:jc w:val="center"/>
        <w:rPr/>
      </w:pPr>
      <w:r>
        <w:rPr>
          <w:rFonts w:ascii="Times New Roman;serif" w:hAnsi="Times New Roman;serif"/>
          <w:b w:val="false"/>
          <w:color w:val="000000"/>
          <w:sz w:val="20"/>
          <w:u w:val="single"/>
        </w:rPr>
        <w:t>/s/ Mohammed G. Zerhouni</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Mohammed G. Zerhouni</w:t>
      </w:r>
    </w:p>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extBody"/>
        <w:bidi w:val="0"/>
        <w:spacing w:lineRule="auto" w:line="288" w:before="0" w:after="600"/>
        <w:jc w:val="both"/>
        <w:rPr>
          <w:rFonts w:ascii="Times New Roman;serif" w:hAnsi="Times New Roman;serif"/>
          <w:b w:val="false"/>
          <w:color w:val="000000"/>
          <w:sz w:val="20"/>
        </w:rPr>
      </w:pPr>
      <w:r>
        <w:rPr>
          <w:rFonts w:ascii="Times New Roman;serif" w:hAnsi="Times New Roman;serif"/>
          <w:b w:val="false"/>
          <w:color w:val="000000"/>
          <w:sz w:val="20"/>
        </w:rPr>
        <w:t>Date: April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6004/000162828026009777/exhibit1023hpncbank_middle.htm" TargetMode="External"/><Relationship Id="rId3" Type="http://schemas.openxmlformats.org/officeDocument/2006/relationships/hyperlink" Target="https://www.sec.gov/Archives/edgar/data/66004/000162828026009777/exhibit1023ipncbank_middle.htm" TargetMode="External"/><Relationship Id="rId4" Type="http://schemas.openxmlformats.org/officeDocument/2006/relationships/hyperlink" Target="https://www.sec.gov/Archives/edgar/data/66004/000162828026011115/msex-amendmenttoatmsalesag.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14899</Words>
  <Characters>83937</Characters>
  <CharactersWithSpaces>98282</CharactersWithSpaces>
  <Paragraphs>1676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