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Date of Report: July 30, 2026</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MIDDLESEX WATER COMPANY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069"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394"/>
        <w:gridCol w:w="394"/>
        <w:gridCol w:w="39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22-1114430</w:t>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1 South, Suite 400, Iselin, New Jersey 08830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732-634-1500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6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LLC </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30, 2026, Middlesex Water Company announced its financial results for the quarter ended June 30, 2026. A copy of the press release announcing these results is attached hereto as Exhibit 99.1 and incorporated into this Form 8-K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including the exhibit, shall not be deemed “filed” for purposes of Section 18 of the Securities Exchange Act of 1934, as amended (the “Exchange Act”), or otherwise subject to the liabilities under that Section, nor shall it be deemed to be incorporated by reference into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(c)Exhibits</w:t>
      </w:r>
    </w:p>
    <w:tbl>
      <w:tblPr>
        <w:tblW w:w="10051" w:type="dxa"/>
        <w:jc w:val="left"/>
        <w:tblInd w:w="0" w:type="dxa"/>
        <w:tblLayout w:type="fixed"/>
        <w:tblCellMar>
          <w:top w:w="28" w:type="dxa"/>
          <w:left w:w="28" w:type="dxa"/>
          <w:bottom w:w="28" w:type="dxa"/>
          <w:right w:w="28" w:type="dxa"/>
        </w:tblCellMar>
      </w:tblPr>
      <w:tblGrid>
        <w:gridCol w:w="277"/>
        <w:gridCol w:w="244"/>
        <w:gridCol w:w="245"/>
        <w:gridCol w:w="2719"/>
        <w:gridCol w:w="2719"/>
        <w:gridCol w:w="384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2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60730exx991.htm">
              <w:r>
                <w:rPr>
                  <w:rStyle w:val="InternetLink"/>
                  <w:rFonts w:ascii="Times New Roman;serif" w:hAnsi="Times New Roman;serif"/>
                  <w:b w:val="false"/>
                  <w:color w:val="0000FF"/>
                  <w:sz w:val="20"/>
                  <w:u w:val="single"/>
                </w:rPr>
                <w:t>Press Release issued by Middlesex Water Company dated July 30, 2026 reporting Second Quarter 2026 Earnings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of the undersigned hereunto duly authorized.</w:t>
      </w:r>
    </w:p>
    <w:tbl>
      <w:tblPr>
        <w:tblW w:w="4182" w:type="dxa"/>
        <w:jc w:val="left"/>
        <w:tblInd w:w="0" w:type="dxa"/>
        <w:tblLayout w:type="fixed"/>
        <w:tblCellMar>
          <w:top w:w="28" w:type="dxa"/>
          <w:left w:w="28" w:type="dxa"/>
          <w:bottom w:w="28" w:type="dxa"/>
          <w:right w:w="28" w:type="dxa"/>
        </w:tblCellMar>
      </w:tblPr>
      <w:tblGrid>
        <w:gridCol w:w="124"/>
        <w:gridCol w:w="109"/>
        <w:gridCol w:w="109"/>
        <w:gridCol w:w="1124"/>
        <w:gridCol w:w="1124"/>
        <w:gridCol w:w="1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 Treasurer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both"/>
        <w:rPr/>
      </w:pPr>
      <w:r>
        <w:rPr/>
        <w:drawing>
          <wp:inline distT="0" distB="0" distL="0" distR="0">
            <wp:extent cx="1847850" cy="838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47850" cy="838200"/>
                    </a:xfrm>
                    <a:prstGeom prst="rect">
                      <a:avLst/>
                    </a:prstGeom>
                  </pic:spPr>
                </pic:pic>
              </a:graphicData>
            </a:graphic>
          </wp:inline>
        </w:drawing>
      </w:r>
    </w:p>
    <w:p>
      <w:pPr>
        <w:pStyle w:val="TextBody"/>
        <w:bidi w:val="0"/>
        <w:spacing w:lineRule="auto" w:line="288" w:before="0" w:after="240"/>
        <w:jc w:val="center"/>
        <w:rPr/>
      </w:pPr>
      <w:r>
        <w:rPr>
          <w:rFonts w:ascii="Times New Roman;serif" w:hAnsi="Times New Roman;serif"/>
          <w:b/>
          <w:color w:val="000000"/>
          <w:sz w:val="26"/>
          <w:shd w:fill="FFFFFF" w:val="clear"/>
        </w:rPr>
        <w:t xml:space="preserve">Middlesex Water Company Reports </w:t>
      </w:r>
      <w:r>
        <w:rPr>
          <w:rFonts w:ascii="Times New Roman;serif" w:hAnsi="Times New Roman;serif"/>
          <w:b/>
          <w:color w:val="000000"/>
          <w:sz w:val="26"/>
        </w:rPr>
        <w:t>Second</w:t>
      </w:r>
      <w:r>
        <w:rPr>
          <w:color w:val="000000"/>
          <w:shd w:fill="FFFFFF" w:val="clear"/>
        </w:rPr>
        <w:t xml:space="preserve"> </w:t>
      </w:r>
      <w:r>
        <w:rPr>
          <w:rFonts w:ascii="Times New Roman;serif" w:hAnsi="Times New Roman;serif"/>
          <w:b/>
          <w:color w:val="000000"/>
          <w:sz w:val="26"/>
          <w:shd w:fill="FFFFFF" w:val="clear"/>
        </w:rPr>
        <w:t>Quarter 2026 Earnings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(“EPS”) of $0.79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Invested $53 million in water and wastewater utility infrastructure during the first half of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Declared $0.36 common stock cash dividend</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ISELIN, N.J., </w:t>
      </w:r>
      <w:r>
        <w:rPr>
          <w:rFonts w:ascii="Times New Roman;serif" w:hAnsi="Times New Roman;serif"/>
          <w:b w:val="false"/>
          <w:color w:val="000000"/>
          <w:sz w:val="22"/>
        </w:rPr>
        <w:t>July 30, 2026</w:t>
      </w:r>
      <w:r>
        <w:rPr>
          <w:color w:val="000000"/>
          <w:shd w:fill="FFFFFF" w:val="clear"/>
        </w:rPr>
        <w:t xml:space="preserve"> </w:t>
      </w:r>
      <w:r>
        <w:rPr>
          <w:rFonts w:ascii="Times New Roman;serif" w:hAnsi="Times New Roman;serif"/>
          <w:b w:val="false"/>
          <w:color w:val="000000"/>
          <w:sz w:val="22"/>
          <w:shd w:fill="FFFFFF" w:val="clear"/>
        </w:rPr>
        <w:t xml:space="preserve">-- Middlesex Water Company (“Middlesex” or the “Company”) (NASDAQ: MSEX) today announced financial results for the </w:t>
      </w:r>
      <w:r>
        <w:rPr>
          <w:rFonts w:ascii="Times New Roman;serif" w:hAnsi="Times New Roman;serif"/>
          <w:b w:val="false"/>
          <w:color w:val="000000"/>
          <w:sz w:val="22"/>
        </w:rPr>
        <w:t xml:space="preserve">second </w:t>
      </w:r>
      <w:r>
        <w:rPr>
          <w:rFonts w:ascii="Times New Roman;serif" w:hAnsi="Times New Roman;serif"/>
          <w:b w:val="false"/>
          <w:color w:val="000000"/>
          <w:sz w:val="22"/>
          <w:shd w:fill="FFFFFF" w:val="clear"/>
        </w:rPr>
        <w:t xml:space="preserve">quarter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w:t>
      </w:r>
    </w:p>
    <w:p>
      <w:pPr>
        <w:pStyle w:val="TextBody"/>
        <w:bidi w:val="0"/>
        <w:spacing w:lineRule="auto" w:line="288"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"Our results demonstrate the effectiveness of our disciplined approach to operational, financial, and strategic execution,” said Nadine Leslie, Chair, President, and Chief Executive Officer of Middlesex Water Company. “Strong earnings, driven in part by increased wholesale customer demand and favorable weather, contributed to another solid quarter of performance. In addition, we continue to invest in critical infrastructure to increase long-term reliability, growth, and value for our customers and shareholders under our MWC 2030 Vision."</w:t>
      </w:r>
    </w:p>
    <w:p>
      <w:pPr>
        <w:pStyle w:val="TextBody"/>
        <w:bidi w:val="0"/>
        <w:spacing w:lineRule="auto" w:line="288" w:before="0" w:after="12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Second Quarter 2026 Results</w:t>
      </w:r>
    </w:p>
    <w:p>
      <w:pPr>
        <w:pStyle w:val="TextBody"/>
        <w:bidi w:val="0"/>
        <w:spacing w:lineRule="auto" w:line="288" w:before="0" w:after="120"/>
        <w:jc w:val="both"/>
        <w:rPr/>
      </w:pPr>
      <w:r>
        <w:rPr>
          <w:rFonts w:ascii="Times New Roman;serif" w:hAnsi="Times New Roman;serif"/>
          <w:b w:val="false"/>
          <w:color w:val="000000"/>
          <w:sz w:val="22"/>
          <w:shd w:fill="FFFFFF" w:val="clear"/>
        </w:rPr>
        <w:t xml:space="preserve">Middlesex reported net income of </w:t>
      </w:r>
      <w:r>
        <w:rPr>
          <w:rFonts w:ascii="Times New Roman;serif" w:hAnsi="Times New Roman;serif"/>
          <w:b w:val="false"/>
          <w:color w:val="000000"/>
          <w:sz w:val="22"/>
        </w:rPr>
        <w:t>$14.8 million</w:t>
      </w:r>
      <w:r>
        <w:rPr>
          <w:color w:val="000000"/>
          <w:shd w:fill="FFFFFF" w:val="clear"/>
        </w:rPr>
        <w:t xml:space="preserve"> </w:t>
      </w:r>
      <w:r>
        <w:rPr>
          <w:rFonts w:ascii="Times New Roman;serif" w:hAnsi="Times New Roman;serif"/>
          <w:b w:val="false"/>
          <w:color w:val="000000"/>
          <w:sz w:val="22"/>
          <w:shd w:fill="FFFFFF" w:val="clear"/>
        </w:rPr>
        <w:t xml:space="preserve">and diluted EPS of </w:t>
      </w:r>
      <w:r>
        <w:rPr>
          <w:rFonts w:ascii="Times New Roman;serif" w:hAnsi="Times New Roman;serif"/>
          <w:b w:val="false"/>
          <w:color w:val="000000"/>
          <w:sz w:val="22"/>
        </w:rPr>
        <w:t>$0.79</w:t>
      </w:r>
      <w:r>
        <w:rPr>
          <w:rFonts w:ascii="Times New Roman;serif" w:hAnsi="Times New Roman;serif"/>
          <w:b w:val="false"/>
          <w:color w:val="000000"/>
          <w:sz w:val="22"/>
          <w:shd w:fill="FFFFFF" w:val="clear"/>
        </w:rPr>
        <w:t xml:space="preserve">, compared to net income of </w:t>
      </w:r>
      <w:r>
        <w:rPr>
          <w:rFonts w:ascii="Times New Roman;serif" w:hAnsi="Times New Roman;serif"/>
          <w:b w:val="false"/>
          <w:color w:val="000000"/>
          <w:sz w:val="22"/>
        </w:rPr>
        <w:t>$10.8 million</w:t>
      </w:r>
      <w:r>
        <w:rPr>
          <w:color w:val="000000"/>
          <w:shd w:fill="FFFFFF" w:val="clear"/>
        </w:rPr>
        <w:t xml:space="preserve"> </w:t>
      </w:r>
      <w:r>
        <w:rPr>
          <w:rFonts w:ascii="Times New Roman;serif" w:hAnsi="Times New Roman;serif"/>
          <w:b w:val="false"/>
          <w:color w:val="000000"/>
          <w:sz w:val="22"/>
          <w:shd w:fill="FFFFFF" w:val="clear"/>
        </w:rPr>
        <w:t xml:space="preserve">and diluted EPS of </w:t>
      </w:r>
      <w:r>
        <w:rPr>
          <w:rFonts w:ascii="Times New Roman;serif" w:hAnsi="Times New Roman;serif"/>
          <w:b w:val="false"/>
          <w:color w:val="000000"/>
          <w:sz w:val="22"/>
        </w:rPr>
        <w:t>$0.60</w:t>
      </w:r>
      <w:r>
        <w:rPr>
          <w:color w:val="000000"/>
          <w:shd w:fill="FFFFFF" w:val="clear"/>
        </w:rPr>
        <w:t xml:space="preserve"> </w:t>
      </w:r>
      <w:r>
        <w:rPr>
          <w:rFonts w:ascii="Times New Roman;serif" w:hAnsi="Times New Roman;serif"/>
          <w:b w:val="false"/>
          <w:color w:val="000000"/>
          <w:sz w:val="22"/>
          <w:shd w:fill="FFFFFF" w:val="clear"/>
        </w:rPr>
        <w:t xml:space="preserve">for the same quarter in </w:t>
      </w:r>
      <w:r>
        <w:rPr>
          <w:rFonts w:ascii="Times New Roman;serif" w:hAnsi="Times New Roman;serif"/>
          <w:b w:val="false"/>
          <w:color w:val="000000"/>
          <w:sz w:val="22"/>
        </w:rPr>
        <w:t>2025</w:t>
      </w:r>
      <w:r>
        <w:rPr>
          <w:rFonts w:ascii="Times New Roman;serif" w:hAnsi="Times New Roman;serif"/>
          <w:b w:val="false"/>
          <w:color w:val="000000"/>
          <w:sz w:val="22"/>
          <w:shd w:fill="FFFFFF" w:val="clear"/>
        </w:rPr>
        <w:t xml:space="preserve">. </w:t>
      </w:r>
    </w:p>
    <w:p>
      <w:pPr>
        <w:pStyle w:val="TextBody"/>
        <w:bidi w:val="0"/>
        <w:spacing w:lineRule="auto" w:line="288" w:before="0" w:after="240"/>
        <w:jc w:val="both"/>
        <w:rPr/>
      </w:pPr>
      <w:r>
        <w:rPr>
          <w:rFonts w:ascii="Times New Roman;serif" w:hAnsi="Times New Roman;serif"/>
          <w:b w:val="false"/>
          <w:color w:val="000000"/>
          <w:sz w:val="22"/>
          <w:shd w:fill="FFFFFF" w:val="clear"/>
        </w:rPr>
        <w:t>Operating r</w:t>
      </w:r>
      <w:r>
        <w:rPr>
          <w:rFonts w:ascii="Times New Roman;serif" w:hAnsi="Times New Roman;serif"/>
          <w:b w:val="false"/>
          <w:color w:val="000000"/>
          <w:sz w:val="22"/>
        </w:rPr>
        <w:t>evenues for the quarter ended June 30, 2026, were $56.4 million, an increase of $7.0 million, compared to the same quarter last year. Operating revenues for the Middlesex System increased $5.3 million due to increased wholesale demand, customer consumption and base rate increases. Tidewater System revenues increased $1.7 million due to increased customer consumption, customer growth and rate increases.</w:t>
      </w:r>
    </w:p>
    <w:p>
      <w:pPr>
        <w:pStyle w:val="TextBody"/>
        <w:bidi w:val="0"/>
        <w:spacing w:lineRule="auto" w:line="288" w:before="0" w:after="240"/>
        <w:jc w:val="both"/>
        <w:rPr/>
      </w:pPr>
      <w:r>
        <w:rPr>
          <w:rFonts w:ascii="Times New Roman;serif" w:hAnsi="Times New Roman;serif"/>
          <w:b w:val="false"/>
          <w:color w:val="000000"/>
          <w:sz w:val="22"/>
          <w:shd w:fill="FFFFFF" w:val="clear"/>
        </w:rPr>
        <w:t>Operating expenses for the quarte</w:t>
      </w:r>
      <w:r>
        <w:rPr>
          <w:rFonts w:ascii="Times New Roman;serif" w:hAnsi="Times New Roman;serif"/>
          <w:b w:val="false"/>
          <w:color w:val="000000"/>
          <w:sz w:val="22"/>
        </w:rPr>
        <w:t>r ended June 30, 2026, were $38.1 million, an increase of approximat</w:t>
      </w:r>
      <w:r>
        <w:rPr>
          <w:rFonts w:ascii="Times New Roman;serif" w:hAnsi="Times New Roman;serif"/>
          <w:b w:val="false"/>
          <w:color w:val="000000"/>
          <w:sz w:val="22"/>
          <w:shd w:fill="FFFFFF" w:val="clear"/>
        </w:rPr>
        <w:t xml:space="preserve">ely </w:t>
      </w:r>
      <w:r>
        <w:rPr>
          <w:rFonts w:ascii="Times New Roman;serif" w:hAnsi="Times New Roman;serif"/>
          <w:b w:val="false"/>
          <w:color w:val="000000"/>
          <w:sz w:val="22"/>
        </w:rPr>
        <w:t>$2.7 million</w:t>
      </w:r>
      <w:r>
        <w:rPr>
          <w:rFonts w:ascii="Times New Roman;serif" w:hAnsi="Times New Roman;serif"/>
          <w:b w:val="false"/>
          <w:color w:val="000000"/>
          <w:sz w:val="22"/>
          <w:shd w:fill="FFFFFF" w:val="clear"/>
        </w:rPr>
        <w:t xml:space="preserve">, compared to </w:t>
      </w:r>
      <w:r>
        <w:rPr>
          <w:rFonts w:ascii="Times New Roman;serif" w:hAnsi="Times New Roman;serif"/>
          <w:b w:val="false"/>
          <w:color w:val="000000"/>
          <w:sz w:val="22"/>
        </w:rPr>
        <w:t>$35.4 million</w:t>
      </w:r>
      <w:r>
        <w:rPr>
          <w:color w:val="000000"/>
          <w:shd w:fill="FFFFFF" w:val="clear"/>
        </w:rPr>
        <w:t xml:space="preserve"> </w:t>
      </w:r>
      <w:r>
        <w:rPr>
          <w:rFonts w:ascii="Times New Roman;serif" w:hAnsi="Times New Roman;serif"/>
          <w:b w:val="false"/>
          <w:color w:val="000000"/>
          <w:sz w:val="22"/>
          <w:shd w:fill="FFFFFF" w:val="clear"/>
        </w:rPr>
        <w:t>for the same quarter last year</w:t>
      </w:r>
      <w:r>
        <w:rPr>
          <w:rFonts w:ascii="Times New Roman;serif" w:hAnsi="Times New Roman;serif"/>
          <w:b w:val="false"/>
          <w:color w:val="000000"/>
          <w:sz w:val="22"/>
        </w:rPr>
        <w:t>. Operations and maintenance expenses increased $2.3 million primarily due to increases in the allowance for credit loss reserve and employee related costs, partially offset by higher capitalizable costs; and other taxes increased $0.3 million due to higher gross receipts taxes on higher revenues in the Middlesex System.</w:t>
      </w:r>
    </w:p>
    <w:p>
      <w:pPr>
        <w:pStyle w:val="TextBody"/>
        <w:bidi w:val="0"/>
        <w:spacing w:lineRule="auto" w:line="288" w:before="0" w:after="12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Year-to-Date Results</w:t>
      </w:r>
    </w:p>
    <w:p>
      <w:pPr>
        <w:pStyle w:val="TextBody"/>
        <w:bidi w:val="0"/>
        <w:spacing w:lineRule="auto" w:line="288" w:before="0" w:after="120"/>
        <w:jc w:val="both"/>
        <w:rPr/>
      </w:pPr>
      <w:r>
        <w:rPr>
          <w:rFonts w:ascii="Times New Roman;serif" w:hAnsi="Times New Roman;serif"/>
          <w:b w:val="false"/>
          <w:color w:val="000000"/>
          <w:sz w:val="22"/>
          <w:shd w:fill="FFFFFF" w:val="clear"/>
        </w:rPr>
        <w:t xml:space="preserve">Net income for the </w:t>
      </w:r>
      <w:r>
        <w:rPr>
          <w:rFonts w:ascii="Times New Roman;serif" w:hAnsi="Times New Roman;serif"/>
          <w:b w:val="false"/>
          <w:color w:val="000000"/>
          <w:sz w:val="22"/>
        </w:rPr>
        <w:t>six</w:t>
      </w:r>
      <w:r>
        <w:rPr>
          <w:color w:val="000000"/>
          <w:shd w:fill="FFFFFF" w:val="clear"/>
        </w:rPr>
        <w:t xml:space="preserve"> </w:t>
      </w:r>
      <w:r>
        <w:rPr>
          <w:rFonts w:ascii="Times New Roman;serif" w:hAnsi="Times New Roman;serif"/>
          <w:b w:val="false"/>
          <w:color w:val="000000"/>
          <w:sz w:val="22"/>
          <w:shd w:fill="FFFFFF" w:val="clear"/>
        </w:rPr>
        <w:t xml:space="preserve">months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was </w:t>
      </w:r>
      <w:r>
        <w:rPr>
          <w:rFonts w:ascii="Times New Roman;serif" w:hAnsi="Times New Roman;serif"/>
          <w:b w:val="false"/>
          <w:color w:val="000000"/>
          <w:sz w:val="22"/>
        </w:rPr>
        <w:t>$25.4 million</w:t>
      </w:r>
      <w:r>
        <w:rPr>
          <w:rFonts w:ascii="Times New Roman;serif" w:hAnsi="Times New Roman;serif"/>
          <w:b w:val="false"/>
          <w:color w:val="000000"/>
          <w:sz w:val="22"/>
          <w:shd w:fill="FFFFFF" w:val="clear"/>
        </w:rPr>
        <w:t xml:space="preserve">, a </w:t>
      </w:r>
      <w:r>
        <w:rPr>
          <w:rFonts w:ascii="Times New Roman;serif" w:hAnsi="Times New Roman;serif"/>
          <w:b w:val="false"/>
          <w:color w:val="000000"/>
          <w:sz w:val="22"/>
        </w:rPr>
        <w:t>$5.1 million</w:t>
      </w:r>
      <w:r>
        <w:rPr>
          <w:color w:val="000000"/>
          <w:shd w:fill="FFFFFF" w:val="clear"/>
        </w:rPr>
        <w:t xml:space="preserve"> </w:t>
      </w:r>
      <w:r>
        <w:rPr>
          <w:rFonts w:ascii="Times New Roman;serif" w:hAnsi="Times New Roman;serif"/>
          <w:b w:val="false"/>
          <w:color w:val="000000"/>
          <w:sz w:val="22"/>
          <w:shd w:fill="FFFFFF" w:val="clear"/>
        </w:rPr>
        <w:t xml:space="preserve">increase when compared to the same period in </w:t>
      </w:r>
      <w:r>
        <w:rPr>
          <w:rFonts w:ascii="Times New Roman;serif" w:hAnsi="Times New Roman;serif"/>
          <w:b w:val="false"/>
          <w:color w:val="000000"/>
          <w:sz w:val="22"/>
        </w:rPr>
        <w:t>2025</w:t>
      </w:r>
      <w:r>
        <w:rPr>
          <w:rFonts w:ascii="Times New Roman;serif" w:hAnsi="Times New Roman;serif"/>
          <w:b w:val="false"/>
          <w:color w:val="000000"/>
          <w:sz w:val="22"/>
          <w:shd w:fill="FFFFFF" w:val="clear"/>
        </w:rPr>
        <w:t xml:space="preserve">. Diluted earnings per share were </w:t>
      </w:r>
      <w:r>
        <w:rPr>
          <w:rFonts w:ascii="Times New Roman;serif" w:hAnsi="Times New Roman;serif"/>
          <w:b w:val="false"/>
          <w:color w:val="000000"/>
          <w:sz w:val="22"/>
        </w:rPr>
        <w:t>$1.36</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$1.13</w:t>
      </w:r>
      <w:r>
        <w:rPr>
          <w:color w:val="000000"/>
          <w:shd w:fill="FFFFFF" w:val="clear"/>
        </w:rPr>
        <w:t xml:space="preserve"> </w:t>
      </w:r>
      <w:r>
        <w:rPr>
          <w:rFonts w:ascii="Times New Roman;serif" w:hAnsi="Times New Roman;serif"/>
          <w:b w:val="false"/>
          <w:color w:val="000000"/>
          <w:sz w:val="22"/>
          <w:shd w:fill="FFFFFF" w:val="clear"/>
        </w:rPr>
        <w:t xml:space="preserve">for the six months ended June 30, 2026, and </w:t>
      </w:r>
      <w:r>
        <w:rPr>
          <w:rFonts w:ascii="Times New Roman;serif" w:hAnsi="Times New Roman;serif"/>
          <w:b w:val="false"/>
          <w:color w:val="000000"/>
          <w:sz w:val="22"/>
        </w:rPr>
        <w:t>2025</w:t>
      </w:r>
      <w:r>
        <w:rPr>
          <w:rFonts w:ascii="Times New Roman;serif" w:hAnsi="Times New Roman;serif"/>
          <w:b w:val="false"/>
          <w:color w:val="000000"/>
          <w:sz w:val="22"/>
          <w:shd w:fill="FFFFFF" w:val="clear"/>
        </w:rPr>
        <w:t xml:space="preserve">, respectively. </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Operating revenues for the </w:t>
      </w:r>
      <w:r>
        <w:rPr>
          <w:rFonts w:ascii="Times New Roman;serif" w:hAnsi="Times New Roman;serif"/>
          <w:b w:val="false"/>
          <w:color w:val="000000"/>
          <w:sz w:val="22"/>
        </w:rPr>
        <w:t>six</w:t>
      </w:r>
      <w:r>
        <w:rPr>
          <w:color w:val="000000"/>
          <w:shd w:fill="FFFFFF" w:val="clear"/>
        </w:rPr>
        <w:t xml:space="preserve"> </w:t>
      </w:r>
      <w:r>
        <w:rPr>
          <w:rFonts w:ascii="Times New Roman;serif" w:hAnsi="Times New Roman;serif"/>
          <w:b w:val="false"/>
          <w:color w:val="000000"/>
          <w:sz w:val="22"/>
          <w:shd w:fill="FFFFFF" w:val="clear"/>
        </w:rPr>
        <w:t xml:space="preserve">months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were </w:t>
      </w:r>
      <w:r>
        <w:rPr>
          <w:rFonts w:ascii="Times New Roman;serif" w:hAnsi="Times New Roman;serif"/>
          <w:b w:val="false"/>
          <w:color w:val="000000"/>
          <w:sz w:val="22"/>
        </w:rPr>
        <w:t>$105.1 million</w:t>
      </w:r>
      <w:r>
        <w:rPr>
          <w:rFonts w:ascii="Times New Roman;serif" w:hAnsi="Times New Roman;serif"/>
          <w:b w:val="false"/>
          <w:color w:val="000000"/>
          <w:sz w:val="22"/>
          <w:shd w:fill="FFFFFF" w:val="clear"/>
        </w:rPr>
        <w:t xml:space="preserve">, an increase of approximately </w:t>
      </w:r>
      <w:r>
        <w:rPr>
          <w:rFonts w:ascii="Times New Roman;serif" w:hAnsi="Times New Roman;serif"/>
          <w:b w:val="false"/>
          <w:color w:val="000000"/>
          <w:sz w:val="22"/>
        </w:rPr>
        <w:t>$11.4</w:t>
      </w:r>
      <w:r>
        <w:rPr>
          <w:color w:val="000000"/>
          <w:shd w:fill="FFFFFF" w:val="clear"/>
        </w:rPr>
        <w:t xml:space="preserve"> </w:t>
      </w:r>
      <w:r>
        <w:rPr>
          <w:rFonts w:ascii="Times New Roman;serif" w:hAnsi="Times New Roman;serif"/>
          <w:b w:val="false"/>
          <w:color w:val="000000"/>
          <w:sz w:val="22"/>
          <w:shd w:fill="FFFFFF" w:val="clear"/>
        </w:rPr>
        <w:t xml:space="preserve">compared to the same period in </w:t>
      </w:r>
      <w:r>
        <w:rPr>
          <w:rFonts w:ascii="Times New Roman;serif" w:hAnsi="Times New Roman;serif"/>
          <w:b w:val="false"/>
          <w:color w:val="000000"/>
          <w:sz w:val="22"/>
        </w:rPr>
        <w:t>2025</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Middlesex System revenues increased $8.8 million due to increased wholesale demand, customer consumption and base rate increases. Tidewater System revenues increased $2.5 million due to increased customer consumption, customer growth, and rate increases. Non-regulated revenues increased $0.1 million, primarily due to higher supplemental contract services.</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Operating expenses for the six months ended June 30, 2026, increased $5.6 million compared to the same period in 2025. Operations and maintenance expenses increased </w:t>
      </w:r>
      <w:r>
        <w:rPr>
          <w:rFonts w:ascii="Times New Roman;serif" w:hAnsi="Times New Roman;serif"/>
          <w:b w:val="false"/>
          <w:color w:val="000000"/>
          <w:sz w:val="22"/>
        </w:rPr>
        <w:t>$4.2 million</w:t>
      </w:r>
      <w:r>
        <w:rPr>
          <w:color w:val="000000"/>
          <w:shd w:fill="FFFFFF" w:val="clear"/>
        </w:rPr>
        <w:t xml:space="preserve"> </w:t>
      </w:r>
      <w:r>
        <w:rPr>
          <w:rFonts w:ascii="Times New Roman;serif" w:hAnsi="Times New Roman;serif"/>
          <w:b w:val="false"/>
          <w:color w:val="000000"/>
          <w:sz w:val="22"/>
          <w:shd w:fill="FFFFFF" w:val="clear"/>
        </w:rPr>
        <w:t xml:space="preserve">primarily due to increases in allowance for credit loss reserve, employee related costs, and variable production costs, partially offset by higher capitalizable costs. Depreciation expense increased $0.6 million due to higher average utility plant in </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service. Other taxes increased </w:t>
      </w:r>
      <w:r>
        <w:rPr>
          <w:rFonts w:ascii="Times New Roman;serif" w:hAnsi="Times New Roman;serif"/>
          <w:b w:val="false"/>
          <w:color w:val="000000"/>
          <w:sz w:val="22"/>
        </w:rPr>
        <w:t>$0.8 million</w:t>
      </w:r>
      <w:r>
        <w:rPr>
          <w:color w:val="000000"/>
          <w:shd w:fill="FFFFFF" w:val="clear"/>
        </w:rPr>
        <w:t xml:space="preserve"> </w:t>
      </w:r>
      <w:r>
        <w:rPr>
          <w:rFonts w:ascii="Times New Roman;serif" w:hAnsi="Times New Roman;serif"/>
          <w:b w:val="false"/>
          <w:color w:val="000000"/>
          <w:sz w:val="22"/>
          <w:shd w:fill="FFFFFF" w:val="clear"/>
        </w:rPr>
        <w:t>due to higher gross receipts taxes on higher revenues in the Middlesex System.</w:t>
      </w:r>
    </w:p>
    <w:p>
      <w:pPr>
        <w:pStyle w:val="TextBody"/>
        <w:bidi w:val="0"/>
        <w:spacing w:lineRule="auto" w:line="288" w:before="0" w:after="12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Selective and Sustainable Growth </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Middlesex invested approximately </w:t>
      </w:r>
      <w:r>
        <w:rPr>
          <w:rFonts w:ascii="Times New Roman;serif" w:hAnsi="Times New Roman;serif"/>
          <w:b w:val="false"/>
          <w:color w:val="000000"/>
          <w:sz w:val="22"/>
        </w:rPr>
        <w:t>$53 million</w:t>
      </w:r>
      <w:r>
        <w:rPr>
          <w:color w:val="000000"/>
          <w:shd w:fill="FFFFFF" w:val="clear"/>
        </w:rPr>
        <w:t xml:space="preserve"> </w:t>
      </w:r>
      <w:r>
        <w:rPr>
          <w:rFonts w:ascii="Times New Roman;serif" w:hAnsi="Times New Roman;serif"/>
          <w:b w:val="false"/>
          <w:color w:val="000000"/>
          <w:sz w:val="22"/>
          <w:shd w:fill="FFFFFF" w:val="clear"/>
        </w:rPr>
        <w:t xml:space="preserve">to upgrade, replace and enhance the resiliency of its water and wastewater utility infrastructure during the </w:t>
      </w:r>
      <w:r>
        <w:rPr>
          <w:rFonts w:ascii="Times New Roman;serif" w:hAnsi="Times New Roman;serif"/>
          <w:b w:val="false"/>
          <w:color w:val="000000"/>
          <w:sz w:val="22"/>
        </w:rPr>
        <w:t>six</w:t>
      </w:r>
      <w:r>
        <w:rPr>
          <w:color w:val="000000"/>
          <w:shd w:fill="FFFFFF" w:val="clear"/>
        </w:rPr>
        <w:t xml:space="preserve"> </w:t>
      </w:r>
      <w:r>
        <w:rPr>
          <w:rFonts w:ascii="Times New Roman;serif" w:hAnsi="Times New Roman;serif"/>
          <w:b w:val="false"/>
          <w:color w:val="000000"/>
          <w:sz w:val="22"/>
          <w:shd w:fill="FFFFFF" w:val="clear"/>
        </w:rPr>
        <w:t xml:space="preserve">months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or approximately </w:t>
      </w:r>
      <w:r>
        <w:rPr>
          <w:rFonts w:ascii="Times New Roman;serif" w:hAnsi="Times New Roman;serif"/>
          <w:b w:val="false"/>
          <w:color w:val="000000"/>
          <w:sz w:val="22"/>
        </w:rPr>
        <w:t>42%</w:t>
      </w:r>
      <w:r>
        <w:rPr>
          <w:color w:val="000000"/>
          <w:shd w:fill="FFFFFF" w:val="clear"/>
        </w:rPr>
        <w:t xml:space="preserve"> </w:t>
      </w:r>
      <w:r>
        <w:rPr>
          <w:rFonts w:ascii="Times New Roman;serif" w:hAnsi="Times New Roman;serif"/>
          <w:b w:val="false"/>
          <w:color w:val="000000"/>
          <w:sz w:val="22"/>
          <w:shd w:fill="FFFFFF" w:val="clear"/>
        </w:rPr>
        <w:t xml:space="preserve">of its planned 2026 annual investment of </w:t>
      </w:r>
      <w:r>
        <w:rPr>
          <w:rFonts w:ascii="Times New Roman;serif" w:hAnsi="Times New Roman;serif"/>
          <w:b w:val="false"/>
          <w:color w:val="000000"/>
          <w:sz w:val="22"/>
        </w:rPr>
        <w:t>$126 million.</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Dividend Declared</w:t>
      </w:r>
    </w:p>
    <w:p>
      <w:pPr>
        <w:pStyle w:val="TextBody"/>
        <w:bidi w:val="0"/>
        <w:spacing w:lineRule="auto" w:line="288" w:before="0" w:after="240"/>
        <w:jc w:val="left"/>
        <w:rPr/>
      </w:pPr>
      <w:r>
        <w:rPr>
          <w:rFonts w:ascii="Times New Roman;serif" w:hAnsi="Times New Roman;serif"/>
          <w:b w:val="false"/>
          <w:color w:val="000000"/>
          <w:sz w:val="22"/>
          <w:shd w:fill="FFFFFF" w:val="clear"/>
        </w:rPr>
        <w:t xml:space="preserve">As previously announced on July 23, 2026, the Company’s Board of Directors declared a third quarter cash dividend of </w:t>
      </w:r>
      <w:r>
        <w:rPr>
          <w:rFonts w:ascii="Times New Roman;serif" w:hAnsi="Times New Roman;serif"/>
          <w:b w:val="false"/>
          <w:color w:val="000000"/>
          <w:sz w:val="22"/>
        </w:rPr>
        <w:t>$0.36</w:t>
      </w:r>
      <w:r>
        <w:rPr>
          <w:color w:val="000000"/>
          <w:shd w:fill="FFFFFF" w:val="clear"/>
        </w:rPr>
        <w:t xml:space="preserve"> </w:t>
      </w:r>
      <w:r>
        <w:rPr>
          <w:rFonts w:ascii="Times New Roman;serif" w:hAnsi="Times New Roman;serif"/>
          <w:b w:val="false"/>
          <w:color w:val="000000"/>
          <w:sz w:val="22"/>
          <w:shd w:fill="FFFFFF" w:val="clear"/>
        </w:rPr>
        <w:t xml:space="preserve">per common share. </w:t>
      </w:r>
      <w:r>
        <w:rPr>
          <w:rFonts w:ascii="Times New Roman;serif" w:hAnsi="Times New Roman;serif"/>
          <w:b w:val="false"/>
          <w:color w:val="000000"/>
          <w:sz w:val="22"/>
        </w:rPr>
        <w:t>Dividends on common shares will be paid on September 1, 2026, to shareholders of record as of August 17, 2026.</w:t>
      </w:r>
      <w:r>
        <w:rPr>
          <w:color w:val="000000"/>
          <w:shd w:fill="FFFFFF" w:val="clear"/>
        </w:rPr>
        <w:t xml:space="preserve"> </w:t>
      </w:r>
      <w:r>
        <w:rPr>
          <w:rFonts w:ascii="Times New Roman;serif" w:hAnsi="Times New Roman;serif"/>
          <w:b w:val="false"/>
          <w:color w:val="000000"/>
          <w:sz w:val="22"/>
        </w:rPr>
        <w:t xml:space="preserve">Middlesex has paid cash dividends each year since 1912 and has increased the dividends received by shareholders each calendar year for 53 consecutive years.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About Middlesex Water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Middlesex Water Company (“Middlesex”) is one of the nation’s premier investor-owned water and wastewater utilities. Established in 1897, Middlesex is a trusted provider of life-sustaining services to more than half a million people in New Jersey and Delaware. The company focuses on employee engagement, operational excellence, superior customer experience, investment in infrastructure, and selective and sustainable growth to deliver value to our customers, investors, and the communities we 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This press release contains “forward-looking statements” within the meaning of U.S. federal securities laws reflecting the current beliefs or expectations of Middlesex Water Company “Company” regarding its future performance, its financial condition, its strategic plans and cash flows, its results of operations as well as any other statements that do not directly relate to any historical or current facts. These statements reflect the Company’s current views and information currently available. This information is based on estimates, assumptions, and analysis that the Company believes, as of the date hereof, provide a reasonable basis for the information contained herein. Forward-looking statements can generally be identified by the use of forward-looking words such as “outlook,” “believes,” “expects,” “potential,” “continues,” “may,” “will,” “should,” “seeks,” “approximately,” “predicts,” “intends,” “plans,” “estimates,” “anticipates,” “foresees,” or the negative of those words or other comparable terminology. The Company intends that these statements be covered by the safe harbors created under those laws. Actual results, performance or achievements may differ materially from forward-looking statements, and the assumptions on which forward-looking statements are based. There can be no assurance that the information contained herein is reflective of future performance, and investors are cautioned not to place undue reliance on forward-looking statements as a predictor of future performance. Unless otherwise specified, all information contained in this press release speaks only as of the date hereof. The Company undertakes no duty to update or revise the information contained herein, whether as a result of new information, future events or otherwise.</w: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Summer DeFEO, Senior Director of Communications</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sdefeo@middlesexwater.com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(732) 638-7510</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Jennifer Ketschke, Director, Investor Relations and Treasury</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InvestorRelations@middlesexwater.com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(732) 638-7523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389" w:type="dxa"/>
        <w:jc w:val="center"/>
        <w:tblInd w:w="0" w:type="dxa"/>
        <w:tblLayout w:type="fixed"/>
        <w:tblCellMar>
          <w:top w:w="28" w:type="dxa"/>
          <w:left w:w="28" w:type="dxa"/>
          <w:bottom w:w="28" w:type="dxa"/>
          <w:right w:w="28" w:type="dxa"/>
        </w:tblCellMar>
      </w:tblPr>
      <w:tblGrid>
        <w:gridCol w:w="1440"/>
        <w:gridCol w:w="1264"/>
        <w:gridCol w:w="1270"/>
        <w:gridCol w:w="368"/>
        <w:gridCol w:w="368"/>
        <w:gridCol w:w="208"/>
        <w:gridCol w:w="208"/>
        <w:gridCol w:w="208"/>
        <w:gridCol w:w="208"/>
        <w:gridCol w:w="360"/>
        <w:gridCol w:w="361"/>
        <w:gridCol w:w="208"/>
        <w:gridCol w:w="109"/>
        <w:gridCol w:w="109"/>
        <w:gridCol w:w="109"/>
        <w:gridCol w:w="368"/>
        <w:gridCol w:w="368"/>
        <w:gridCol w:w="288"/>
        <w:gridCol w:w="178"/>
        <w:gridCol w:w="178"/>
        <w:gridCol w:w="178"/>
        <w:gridCol w:w="360"/>
        <w:gridCol w:w="361"/>
        <w:gridCol w:w="312"/>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$56,357</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$105,071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$93,624</w:t>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25,399</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48,411</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6,761</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13,797</w:t>
            </w: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5,968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11,532</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73,740</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68,155 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18,229</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31,331</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700</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1,334</w:t>
            </w: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3,017</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4,351</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4,016</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7,231</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16,561</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28,451</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1,789</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3,074</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14,772</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25,377</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$14,754</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$25,342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$20,217</w:t>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$0.79</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18,707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18,627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18,737</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18,657</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17,957</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1640</Words>
  <Characters>9509</Characters>
  <CharactersWithSpaces>11026</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